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eastAsia="LiberationSerif-Bold" w:cs="Arial"/>
          <w:b/>
          <w:sz w:val="36"/>
          <w:szCs w:val="36"/>
          <w:lang w:val="pt-BR"/>
        </w:rPr>
      </w:pPr>
      <w:r>
        <w:rPr>
          <w:rFonts w:hint="default" w:ascii="Arial" w:hAnsi="Arial" w:eastAsia="LiberationSerif-Bold" w:cs="Arial"/>
          <w:b/>
          <w:sz w:val="36"/>
          <w:szCs w:val="36"/>
        </w:rPr>
        <w:t>Estudo Técnico Preliminar</w:t>
      </w:r>
      <w:r>
        <w:rPr>
          <w:rFonts w:hint="default" w:ascii="Arial" w:hAnsi="Arial" w:eastAsia="LiberationSerif-Bold" w:cs="Arial"/>
          <w:b/>
          <w:sz w:val="36"/>
          <w:szCs w:val="36"/>
          <w:lang w:val="pt-BR"/>
        </w:rPr>
        <w:t>.</w:t>
      </w:r>
    </w:p>
    <w:p>
      <w:pPr>
        <w:jc w:val="center"/>
        <w:rPr>
          <w:rFonts w:hint="default" w:ascii="Arial" w:hAnsi="Arial" w:eastAsia="LiberationSerif-Bold" w:cs="Arial"/>
          <w:b/>
          <w:sz w:val="36"/>
          <w:szCs w:val="36"/>
          <w:lang w:val="pt-BR"/>
        </w:rPr>
      </w:pPr>
    </w:p>
    <w:p>
      <w:pPr>
        <w:numPr>
          <w:ilvl w:val="0"/>
          <w:numId w:val="1"/>
        </w:numPr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</w:rPr>
        <w:t>Informações Básicas</w:t>
      </w: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.</w:t>
      </w:r>
    </w:p>
    <w:p>
      <w:pPr>
        <w:numPr>
          <w:ilvl w:val="0"/>
          <w:numId w:val="0"/>
        </w:numPr>
        <w:jc w:val="left"/>
        <w:rPr>
          <w:rFonts w:hint="default" w:ascii="Arial" w:hAnsi="Arial" w:eastAsia="LiberationSerif-Bold" w:cs="Arial"/>
          <w:b/>
          <w:sz w:val="24"/>
          <w:szCs w:val="24"/>
          <w:lang w:val="pt-BR"/>
        </w:rPr>
      </w:pPr>
    </w:p>
    <w:p>
      <w:pPr>
        <w:numPr>
          <w:ilvl w:val="0"/>
          <w:numId w:val="0"/>
        </w:numPr>
        <w:ind w:firstLine="420" w:firstLineChars="0"/>
        <w:jc w:val="left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Número do processo: 3733/2022</w:t>
      </w:r>
    </w:p>
    <w:p>
      <w:pPr>
        <w:numPr>
          <w:ilvl w:val="0"/>
          <w:numId w:val="0"/>
        </w:numPr>
        <w:jc w:val="left"/>
        <w:rPr>
          <w:rFonts w:hint="default" w:ascii="Arial" w:hAnsi="Arial" w:eastAsia="LiberationSerif-Bold" w:cs="Arial"/>
          <w:b w:val="0"/>
          <w:bCs/>
          <w:sz w:val="28"/>
          <w:szCs w:val="28"/>
          <w:lang w:val="pt-BR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</w:rPr>
        <w:t>Descrição da necessidade</w:t>
      </w: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.</w:t>
      </w:r>
    </w:p>
    <w:p>
      <w:pPr>
        <w:numPr>
          <w:ilvl w:val="0"/>
          <w:numId w:val="0"/>
        </w:numPr>
        <w:jc w:val="left"/>
        <w:rPr>
          <w:rFonts w:hint="default" w:ascii="Arial" w:hAnsi="Arial" w:eastAsia="LiberationSerif-Bold" w:cs="Arial"/>
          <w:b/>
          <w:sz w:val="24"/>
          <w:szCs w:val="24"/>
          <w:lang w:val="pt-BR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both"/>
        <w:textAlignment w:val="auto"/>
        <w:outlineLvl w:val="9"/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  <w:t xml:space="preserve">Contratação de Empresa Especializada para realização de Pavimentação e Drenagem de Diversas Ruas do Município sendo as Ruas: </w:t>
      </w: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 xml:space="preserve"> Rua Arthur Schwambach; Alameda dos Ipês e Ladeira Florêncio Schulz; Rua Laura Martha Francisca Schultz; Rua Olavo Berger; Rua Rio São Luís; Rua Clemente Berger; Rua Família Behrend e Rua Alzhira Maria Holanda Boldt</w:t>
      </w:r>
      <w:r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  <w:t xml:space="preserve">, Santa Maria de Jetibá. Será pavimentada uma área de 1.245 m aproximadamente.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both"/>
        <w:textAlignment w:val="auto"/>
        <w:outlineLvl w:val="9"/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both"/>
        <w:textAlignment w:val="auto"/>
        <w:outlineLvl w:val="9"/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  <w:t xml:space="preserve">Trata-se da pavimentação das Ruas: </w:t>
      </w: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 xml:space="preserve"> Rua Arthur Schwambach; Alameda dos Ipês e Ladeira Florêncio Schulz; Rua Laura Martha Francisca Schultz; Rua Olavo Berger; Rua Rio São Luís; Rua Clemente Berger; Rua Família Behrend e Rua Alzhira Maria Holanda Boldt</w:t>
      </w:r>
      <w:r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  <w:t>, Santa Maria de Jetibá. Obra que beneficiará diversas famílias e solucionará o problema de danificação da estrada de terra ali existente, sendo praticamente selado todas as ruas de terra do município.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both"/>
        <w:textAlignment w:val="auto"/>
        <w:outlineLvl w:val="9"/>
        <w:rPr>
          <w:rFonts w:hint="default" w:ascii="Arial" w:hAnsi="Arial" w:eastAsia="LiberationSerif-Bold" w:cs="Arial"/>
          <w:b w:val="0"/>
          <w:bCs/>
          <w:kern w:val="2"/>
          <w:sz w:val="24"/>
          <w:szCs w:val="24"/>
          <w:lang w:val="pt-BR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</w:rPr>
        <w:t xml:space="preserve">Área </w:t>
      </w: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R</w:t>
      </w:r>
      <w:r>
        <w:rPr>
          <w:rFonts w:hint="default" w:ascii="Arial" w:hAnsi="Arial" w:eastAsia="LiberationSerif-Bold" w:cs="Arial"/>
          <w:b/>
          <w:sz w:val="28"/>
          <w:szCs w:val="28"/>
        </w:rPr>
        <w:t>equisitante</w:t>
      </w: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.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261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firstLine="840" w:firstLineChars="350"/>
              <w:jc w:val="center"/>
              <w:rPr>
                <w:rFonts w:hint="default" w:ascii="Arial" w:hAnsi="Arial" w:eastAsia="LiberationSerif-Bold" w:cs="Arial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/>
                <w:bCs w:val="0"/>
                <w:sz w:val="24"/>
                <w:szCs w:val="24"/>
                <w:vertAlign w:val="baseline"/>
                <w:lang w:val="pt-BR"/>
              </w:rPr>
              <w:t>Área Requisitante</w:t>
            </w:r>
          </w:p>
        </w:tc>
        <w:tc>
          <w:tcPr>
            <w:tcW w:w="4261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/>
                <w:bCs w:val="0"/>
                <w:sz w:val="24"/>
                <w:szCs w:val="24"/>
                <w:vertAlign w:val="baseline"/>
                <w:lang w:val="pt-BR"/>
              </w:rPr>
              <w:t>Responsável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261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Secretária de Obras e Infraestrutura</w:t>
            </w:r>
          </w:p>
        </w:tc>
        <w:tc>
          <w:tcPr>
            <w:tcW w:w="4261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Paulo Emílio Arsholz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left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4.</w:t>
      </w:r>
      <w:r>
        <w:rPr>
          <w:rFonts w:hint="default" w:ascii="Arial" w:hAnsi="Arial" w:eastAsia="LiberationSerif-Bold" w:cs="Arial"/>
          <w:b/>
          <w:sz w:val="28"/>
          <w:szCs w:val="28"/>
        </w:rPr>
        <w:t xml:space="preserve"> Descrição dos Requisitos da Contratação</w:t>
      </w: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.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Os serviços serão prestados por empresa especializada no ramo, para execução de Terraplanagem, Drenagem e Pavimentação, sob a coordenação da equipe técnica da secretária de Obras e Infraestrutura, cujos dados são apresentados abaixo: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>Trecho: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 xml:space="preserve"> </w:t>
      </w: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 xml:space="preserve"> Rua Arthur Schwambach;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 xml:space="preserve"> Alameda dos Ipês e Ladeira Florêncio Schulz - São Sebastião do Meio; 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 xml:space="preserve">Rua Laura Martha Francisca Schultz - São Sebastião do Meio; 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>Rua Olavo Berger - Virada ;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 xml:space="preserve"> Rua Rio São Luís - São Luís; 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 xml:space="preserve">Rua Clemente Berger - São Sebastião do Meio; 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</w:pP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 xml:space="preserve">Rua Família Behrend - Centro; 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/>
          <w:b w:val="0"/>
          <w:bCs/>
          <w:kern w:val="2"/>
          <w:sz w:val="24"/>
          <w:szCs w:val="24"/>
          <w:lang w:val="pt-BR"/>
        </w:rPr>
        <w:t>Rua Alzhira Maria Holanda Boldt - Colina Verde (Vila dos Italianos);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 xml:space="preserve">Extensão: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1.245 m aproximadamente.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A modalidade de licitação será </w:t>
      </w: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>Tomada de Preços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Regime de contratação: </w:t>
      </w: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>Empreitada por preço unitário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 critério de julgamento da licitação</w:t>
      </w: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será o de</w:t>
      </w: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 xml:space="preserve"> Menor preço.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 xml:space="preserve">Permite Subcontratação: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NÃO. Não será permitida a subcontratação. 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 xml:space="preserve">Permite Consórcio: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NÃO.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 xml:space="preserve"> A vedação se justifica na medida em que nas contratações de serviços por meio tomada de preços é bastante comum a participação de empresas de pequeno porte, as quais, em sua maioria, apresentam os requisitos mínimos exigidos no tocante á qualificação técnica-operacional e econômico-financeira, condições suficientes para execução de contratos desta natureza.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Assim, em face do acima exposto, conclui-se que a vedação de participação de empresa constituídas na forma de consórcio, para o caso concreto, é o que melhor atende ao interesse público, por prestigiar os princípios da competitividade, economicidade e moralidade.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4"/>
          <w:szCs w:val="24"/>
          <w:lang w:val="pt-BR"/>
        </w:rPr>
        <w:t xml:space="preserve">Dos orçamentos e Preços de Referência: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os preços unitários que deram origem ao orçamento foram obtidos das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Tabelas de preços c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om desoneração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 xml:space="preserve"> do DER-ES (Edificações e rodovias), DNIT e DER-SP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.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5. Levantamento de Mercado.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Não se enquadra neste tipo de contratação. Conforme apontado anteriormente, foram utilizadas as tabelas de referência de serviços do DER-ES,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DNIT e DER-SP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.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Os serviços a serem contratados enquadram-se nos pressupostos do Decreto n° 9.507, de 21 de setembro de 2018, não se constituindo em quaisquer das atividades, previstas no art. 3º do aludido decreto, cuja execução indireta é vedada.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A prestação dos serviços não gera vínculo empregatício entre os empregados da Contratada e a Administração, vedando-se qualquer relação entre estes que caracterize pessoalidade e subordinação direta.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6. Descrição da solução como um todo.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 presente estudo, como já informado, refere-se à contratação de empresa especializada em serviços de engenharia para executar Terraplanagem, Drenagem e Pavimentação da estrada principal, incluindo material e mão de obra. A descrição detalhada da solução está prevista no memorial descritivo e nos projetos (documentos anexos).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A localidade em questão, Algumas possuem e algumas não possuem rede de saneamento básico coletiva e fornecimento de água pela concessionária CESAN. Nas localidades que não possuem, cada uma das edificações ali existentes possui sistema sanitário e de capitação da água individualizado. Sobre o fornecimento de energia elétrica, pode se observar a sua existência, porém não possui iluminação pública até o presente momento. 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A rede de drenagem será realizada junto da execução da obra de pavimentação, ajudando assim na destinação de águas da chuva, evitando deslizamentos de terra e pontos de alagamento na via, resultando no aumento da durabilidade da obra e evitando maiores transtornos passíveis. 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</w:p>
    <w:p>
      <w:pPr>
        <w:numPr>
          <w:ilvl w:val="0"/>
          <w:numId w:val="2"/>
        </w:numPr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Estimativa das Quantidades a serem Contratadas.</w:t>
      </w:r>
    </w:p>
    <w:p>
      <w:pPr>
        <w:numPr>
          <w:ilvl w:val="0"/>
          <w:numId w:val="0"/>
        </w:numPr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Os serviços a serem contratados serão indicados de acordo com os projetos, memórias de cálculo, planilhas e demais documentos anexados a este estudo.</w:t>
      </w:r>
    </w:p>
    <w:p>
      <w:pPr>
        <w:spacing w:beforeLines="0" w:afterLines="0"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Estimativa do Valor da Contratação.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</w:pPr>
      <w:r>
        <w:rPr>
          <w:rFonts w:hint="default" w:ascii="Arial" w:hAnsi="Arial" w:eastAsia="LiberationSerif-Bold" w:cs="Arial"/>
          <w:b/>
          <w:sz w:val="24"/>
          <w:szCs w:val="24"/>
          <w:lang w:val="pt-BR"/>
        </w:rPr>
        <w:t xml:space="preserve">Orçamento estimado: </w:t>
      </w:r>
      <w:r>
        <w:rPr>
          <w:rFonts w:hint="default" w:ascii="Arial" w:hAnsi="Arial" w:eastAsia="Calibri" w:cs="Arial"/>
          <w:sz w:val="24"/>
          <w:szCs w:val="24"/>
          <w:lang w:val="en-US" w:eastAsia="zh-CN" w:bidi="ar-SA"/>
        </w:rPr>
        <w:t>R$</w:t>
      </w:r>
      <w:r>
        <w:rPr>
          <w:rFonts w:hint="default" w:ascii="Arial" w:hAnsi="Arial" w:eastAsia="Calibri" w:cs="Arial"/>
          <w:sz w:val="24"/>
          <w:szCs w:val="24"/>
          <w:lang w:val="pt-BR" w:eastAsia="zh-CN" w:bidi="ar-SA"/>
        </w:rPr>
        <w:t>1.196.842,11</w:t>
      </w:r>
      <w:r>
        <w:rPr>
          <w:rFonts w:hint="default" w:ascii="Arial" w:hAnsi="Arial" w:cs="Arial"/>
          <w:sz w:val="24"/>
          <w:szCs w:val="24"/>
          <w:lang w:val="pt-BR" w:eastAsia="zh-CN" w:bidi="ar-SA"/>
        </w:rPr>
        <w:t xml:space="preserve"> (Um Milhão, Cento e Noventa e Seis Mil, Oitocentos e Quarenta e Dois reais e Onze Centavos)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, c</w:t>
      </w:r>
      <w:r>
        <w:rPr>
          <w:rFonts w:hint="default" w:ascii="Arial" w:hAnsi="Arial" w:eastAsia="Times New Roman" w:cs="Arial"/>
          <w:color w:val="auto"/>
          <w:sz w:val="24"/>
          <w:szCs w:val="24"/>
          <w:highlight w:val="none"/>
          <w:lang w:val="pt-BR"/>
        </w:rPr>
        <w:t>onforme planilha Orçamentária em anexo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.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</w:pP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 xml:space="preserve">Os preços utilizados no orçamento analítico, foram obtidos da Tabela de Preços do </w:t>
      </w:r>
      <w:bookmarkStart w:id="0" w:name="_GoBack"/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Departamento de Edificações e Rodovias do estado do Espírito Santo (DER-ES), planilha de rodovias de Novembro de 2021 e planilha de edificações de Janeiro de 2022.</w:t>
      </w:r>
      <w:bookmarkEnd w:id="0"/>
    </w:p>
    <w:p>
      <w:pPr>
        <w:spacing w:beforeLines="0" w:afterLines="0" w:line="240" w:lineRule="auto"/>
        <w:jc w:val="both"/>
        <w:rPr>
          <w:rFonts w:hint="default" w:ascii="Arial" w:hAnsi="Arial" w:eastAsia="Times New Roman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Justificativa para o Parcelamento ou não da Solução.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 não parcelamento da solução é mais satisfatório do ponto de vista de eficiência técnica, por manter a qualidade da obra, haja vista que o gerenciamento permanece o tempo todo a cargo de um mesmo administrador, ressaltando que oferece um maior nível de controle pela administração na execução das obras e serviços, cumprimento de cronograma e observância de prazos com a concentração da responsabilidade da obra e garantia dos resultados em uma só empresa.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Ressalta-se que em obras com serviços inter-relacionados, o atraso em uma etapa implica em atraso nas demais etapas, ocasionando aumento de custo e comprometimento dos marcos intermediários e final de entrega da obra. Pelas razões expostas, recomendamos que a contratação não seja parcelada por não ser vantajoso para a administração pública ou representar prejuízos ao conjunto ou ao objeto a ser contratado.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Contratações Correlatas e/ou Interdependentes.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Não há nenhum serviço ou contratações correlatas em relação a este objeto.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Alinhamento entre a Contratação e o Planejamento.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As despesas de pavimentação e drenagem estão na dotação orçamentária: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013001.1545100101.001 - Mobilidade Urbana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44905100000 - Obras e Instalações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Ficha: 0000480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Fonte: 16100000000; 15300000000; 15400000000.  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Resultados Pretendidos.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Pretende-se, com esta contratação, reduzir os gastos de tempo e de recursos da administração municipal com as manutenções dos trechos, realizados hoje com o maquinário da secretaria de interior. 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Também, reduzir perdas e facilitar o escoamento da produção hortigranjeira, fortalecendo a economia e a agricultura familiar.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Ainda, garantir o conforto e a segurança dos moradores da região e dos usuários dessa estrada. 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 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sz w:val="28"/>
          <w:szCs w:val="28"/>
          <w:lang w:val="pt-BR"/>
        </w:rPr>
        <w:t>Providências a serem Adotadas.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- Definição dos servidores que farão parte da equipe de fiscalização e gestão contratual;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- Definição do local onde será instalado o canteiro de obras da CONTRATADA;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- Definição de planos de trabalho com vistas à boa execução contratual: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- Acompanhamento rigoroso das ações previstas nos projetos apresentados para a realização das adequações e melhorias no objeto a ser contratado.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- Posterior à entrega da obra, a Administração deverá fazer a manutenção rotineira do trecho, que inclui a limpeza da via; a limpeza das caixas coletoras e do restante do sistema subterrâneo de drenagem; a desobstrução das sarjetas e demais serviços corriqueiros.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  <w:t>Possíveis Impactos Ambientais.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LiberationSerif-Bold" w:cs="Arial"/>
          <w:b/>
          <w:sz w:val="28"/>
          <w:szCs w:val="28"/>
          <w:lang w:val="pt-BR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/>
                <w:bCs w:val="0"/>
                <w:i w:val="0"/>
                <w:i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/>
                <w:bCs w:val="0"/>
                <w:i w:val="0"/>
                <w:iCs w:val="0"/>
                <w:sz w:val="24"/>
                <w:szCs w:val="24"/>
                <w:lang w:val="pt-BR"/>
              </w:rPr>
              <w:t>Impactos Negativos</w:t>
            </w:r>
          </w:p>
        </w:tc>
        <w:tc>
          <w:tcPr>
            <w:tcW w:w="4261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120" w:leftChars="0" w:hanging="120" w:hangingChars="50"/>
              <w:jc w:val="center"/>
              <w:rPr>
                <w:rFonts w:hint="default" w:ascii="Arial" w:hAnsi="Arial" w:eastAsia="LiberationSerif-Bold" w:cs="Arial"/>
                <w:b/>
                <w:bCs w:val="0"/>
                <w:i w:val="0"/>
                <w:i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/>
                <w:bCs w:val="0"/>
                <w:i w:val="0"/>
                <w:iCs w:val="0"/>
                <w:sz w:val="24"/>
                <w:szCs w:val="24"/>
                <w:lang w:val="pt-BR"/>
              </w:rPr>
              <w:t>Impactos Positivos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lang w:val="pt-BR"/>
              </w:rPr>
              <w:t>Emissão de material particulado durante a execução da obra;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i w:val="0"/>
                <w:iCs w:val="0"/>
                <w:sz w:val="24"/>
                <w:szCs w:val="24"/>
                <w:lang w:val="pt-BR"/>
              </w:rPr>
              <w:t>Diminuição de material particulado após a finalização do objeto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lang w:val="pt-BR"/>
              </w:rPr>
              <w:t>Ruídos;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i w:val="0"/>
                <w:iCs w:val="0"/>
                <w:sz w:val="24"/>
                <w:szCs w:val="24"/>
                <w:lang w:val="pt-BR"/>
              </w:rPr>
              <w:t>Redução das erosões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lang w:val="pt-BR"/>
              </w:rPr>
              <w:t>Alteração de perfil de encostas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i w:val="0"/>
                <w:iCs w:val="0"/>
                <w:sz w:val="24"/>
                <w:szCs w:val="24"/>
                <w:lang w:val="pt-BR"/>
              </w:rPr>
              <w:t>Drenagem adequada do solo que auxilia na proteção de nascentes e recursos hídricos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lang w:val="pt-BR"/>
              </w:rPr>
              <w:t>Poluição hídrica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i w:val="0"/>
                <w:iCs w:val="0"/>
                <w:sz w:val="24"/>
                <w:szCs w:val="24"/>
                <w:lang w:val="pt-BR"/>
              </w:rPr>
              <w:t>Estabilidade dos Taludes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lang w:val="pt-BR"/>
              </w:rPr>
              <w:t>Degradação do solo e risco de erosão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i/>
                <w:i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i w:val="0"/>
                <w:iCs w:val="0"/>
                <w:sz w:val="24"/>
                <w:szCs w:val="24"/>
                <w:lang w:val="pt-BR"/>
              </w:rPr>
              <w:t>Economia de combustível de maquinas de manutenção e de veículos de carga e passeio que ali transitam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i/>
          <w:i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  <w:t>Mapeamento de riscos.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 mapeamento de riscos permite a identificação, avaliação e gerenciamento dos riscos que possam comprometer o sucesso da contratação e da gestão contratual. Para cada risco identificado, define-se: a probabilidade de ocorrência dos eventos, os possíveis danos, possíveis ações preventivas e contingências, bem como a identificação de responsáveis por cada ação.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Após a identificação e classificação, deve-se executar uma análise qualitativa e quantitativa dos riscos. Neste estudo será elaborada a avaliação semi-quantitativa, a qual consiste na classificação conforme a relação entre a probabilidade e o impacto, atribuindo valor a cada nível. Tal classificação resultará no nível do risco e direcionará as ações relacionadas aos riscos durante a fase de planejamento e gestão do contrato.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tbl>
      <w:tblPr>
        <w:tblStyle w:val="6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6726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Escala de Probabilidade (P) - associada às chances do risco ocorrer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Descritor</w:t>
            </w:r>
          </w:p>
        </w:tc>
        <w:tc>
          <w:tcPr>
            <w:tcW w:w="6726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50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Nível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Muito Baixa</w:t>
            </w:r>
          </w:p>
        </w:tc>
        <w:tc>
          <w:tcPr>
            <w:tcW w:w="67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Evento extraordinário ou improvável - sem histórico de ocorrência, poderá até ocorrer, mas nada nas circunstâncias indica essa possibilidade.</w:t>
            </w: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67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Evento r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val="en-US" w:eastAsia="zh-CN" w:bidi="ar"/>
              </w:rPr>
              <w:t>ar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o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val="en-US" w:eastAsia="zh-CN" w:bidi="ar"/>
              </w:rPr>
              <w:t>De forma inesperada ou casual, o evento poderá ocorrer, pois as c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eastAsia="zh-CN" w:bidi="ar"/>
              </w:rPr>
              <w:t>ir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val="en-US" w:eastAsia="zh-CN" w:bidi="ar"/>
              </w:rPr>
              <w:t>cunstâncias pouco indicam essa possibilidade.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67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Evento p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val="en-US" w:eastAsia="zh-CN" w:bidi="ar"/>
              </w:rPr>
              <w:t xml:space="preserve">ossível. 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val="en-US" w:eastAsia="zh-CN" w:bidi="ar"/>
              </w:rPr>
              <w:t>De alguma forma, o evento poderá ocorrer, pois as circunstâncias indicam moderadamente essa possibilidade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eastAsia="zh-CN" w:bidi="ar"/>
              </w:rPr>
              <w:t xml:space="preserve"> de frequência reduzida e com histórico de ocorrência parcialmente conhecido.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  <w:tc>
          <w:tcPr>
            <w:tcW w:w="67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Evento p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val="en-US" w:eastAsia="zh-CN" w:bidi="ar"/>
              </w:rPr>
              <w:t>rovável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, usual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val="en-US" w:eastAsia="zh-CN" w:bidi="ar"/>
              </w:rPr>
              <w:t>De forma até esperada, o evento poderá ocorrer, pois as circunstâ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eastAsia="zh-CN" w:bidi="ar"/>
              </w:rPr>
              <w:t>n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val="en-US" w:eastAsia="zh-CN" w:bidi="ar"/>
              </w:rPr>
              <w:t>cias indicam fortemente essa possibilidade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eastAsia="zh-CN" w:bidi="ar"/>
              </w:rPr>
              <w:t>, com histórico de ocorrência amplamente conhecido.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Muito Alta</w:t>
            </w:r>
          </w:p>
        </w:tc>
        <w:tc>
          <w:tcPr>
            <w:tcW w:w="67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Evento p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val="en-US" w:eastAsia="zh-CN" w:bidi="ar"/>
              </w:rPr>
              <w:t>raticamente cert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o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val="en-US" w:eastAsia="zh-CN" w:bidi="ar"/>
              </w:rPr>
              <w:t>De forma inequívoca, o evento ocorrerá, as circunstâncias indicam claramente essa possibilidade</w:t>
            </w:r>
            <w:r>
              <w:rPr>
                <w:rFonts w:ascii="Times New Roman" w:hAnsi="Times New Roman" w:eastAsia="ITCFranklinGothicStd-MdCd" w:cs="Times New Roman"/>
                <w:color w:val="1B1C1B"/>
                <w:sz w:val="24"/>
                <w:szCs w:val="24"/>
                <w:lang w:eastAsia="zh-CN" w:bidi="ar"/>
              </w:rPr>
              <w:t>, evento repetitivo e constante.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tbl>
      <w:tblPr>
        <w:tblStyle w:val="6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6626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87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Escala de Impacto (I) - associada às consequências no caso do risco ocorrer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344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Descritor</w:t>
            </w:r>
          </w:p>
        </w:tc>
        <w:tc>
          <w:tcPr>
            <w:tcW w:w="6626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50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Nível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Muito Baixo</w:t>
            </w:r>
          </w:p>
        </w:tc>
        <w:tc>
          <w:tcPr>
            <w:tcW w:w="66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Impacto insignificante nos objetivos</w:t>
            </w: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66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Impacto mínimo nos objetivos</w:t>
            </w: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66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Impacto mediano nos objetivos, com possibilidade de recuperação</w:t>
            </w: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3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  <w:tc>
          <w:tcPr>
            <w:tcW w:w="66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Impacto significante nos objetivos, com possibilidade remota de recuperação, de díficil reversão</w:t>
            </w: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34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Muito Alto</w:t>
            </w:r>
          </w:p>
        </w:tc>
        <w:tc>
          <w:tcPr>
            <w:tcW w:w="662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>I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8"/>
                <w:szCs w:val="28"/>
                <w:lang w:eastAsia="zh-CN" w:bidi="ar"/>
              </w:rPr>
              <w:t>mpacto máximo</w:t>
            </w:r>
            <w:r>
              <w:rPr>
                <w:rFonts w:ascii="Times New Roman" w:hAnsi="Times New Roman" w:eastAsia="ITCFranklinGothicStd-DmCd" w:cs="Times New Roman"/>
                <w:color w:val="1B1C1B"/>
                <w:sz w:val="24"/>
                <w:szCs w:val="24"/>
                <w:lang w:eastAsia="zh-CN" w:bidi="ar"/>
              </w:rPr>
              <w:t xml:space="preserve"> nos objetivos, sem possibilidade de recuperação, irreversível</w:t>
            </w:r>
          </w:p>
        </w:tc>
        <w:tc>
          <w:tcPr>
            <w:tcW w:w="75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Após o resultado do cálculo da probabilidade x impacto será obtido o nível do risco, que poderá ser classificado como baixo, médio, alto e extremo, conforme tabela abaixo:</w:t>
      </w:r>
    </w:p>
    <w:tbl>
      <w:tblPr>
        <w:tblStyle w:val="6"/>
        <w:tblW w:w="87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9"/>
        <w:gridCol w:w="4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702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Nível de Risco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1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Risco Baixo (RB)</w:t>
            </w:r>
          </w:p>
        </w:tc>
        <w:tc>
          <w:tcPr>
            <w:tcW w:w="438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0 - 9,99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31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Risco Médio (RM)</w:t>
            </w:r>
          </w:p>
        </w:tc>
        <w:tc>
          <w:tcPr>
            <w:tcW w:w="438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10 - 39,99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31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Risco Alto (RA)</w:t>
            </w:r>
          </w:p>
        </w:tc>
        <w:tc>
          <w:tcPr>
            <w:tcW w:w="438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40 - 79,99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31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Risco Extremo (RE)</w:t>
            </w:r>
          </w:p>
        </w:tc>
        <w:tc>
          <w:tcPr>
            <w:tcW w:w="438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80 - 100</w:t>
            </w: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MATRIZ DE RISCO: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pPr w:leftFromText="180" w:rightFromText="180" w:vertAnchor="text" w:horzAnchor="page" w:tblpX="2813" w:tblpY="63"/>
        <w:tblOverlap w:val="never"/>
        <w:tblW w:w="6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201"/>
        <w:gridCol w:w="960"/>
        <w:gridCol w:w="944"/>
        <w:gridCol w:w="908"/>
        <w:gridCol w:w="1064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500" w:type="dxa"/>
            <w:vMerge w:val="restart"/>
            <w:textDirection w:val="btLr"/>
          </w:tcPr>
          <w:p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IMPACTO</w:t>
            </w:r>
          </w:p>
        </w:tc>
        <w:tc>
          <w:tcPr>
            <w:tcW w:w="1201" w:type="dxa"/>
            <w:textDirection w:val="btLr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Alto</w:t>
            </w:r>
          </w:p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60" w:type="dxa"/>
            <w:shd w:val="clear" w:color="auto" w:fill="FFFF00"/>
          </w:tcPr>
          <w:p>
            <w:pPr>
              <w:jc w:val="center"/>
            </w:pPr>
            <w:r>
              <w:t>10</w:t>
            </w:r>
          </w:p>
          <w:p>
            <w:pPr>
              <w:jc w:val="center"/>
            </w:pPr>
            <w:r>
              <w:t>RM</w:t>
            </w:r>
          </w:p>
        </w:tc>
        <w:tc>
          <w:tcPr>
            <w:tcW w:w="944" w:type="dxa"/>
            <w:shd w:val="clear" w:color="auto" w:fill="FFFF00"/>
          </w:tcPr>
          <w:p>
            <w:pPr>
              <w:jc w:val="center"/>
            </w:pPr>
            <w:r>
              <w:t>20</w:t>
            </w:r>
          </w:p>
          <w:p>
            <w:pPr>
              <w:jc w:val="center"/>
            </w:pPr>
            <w:r>
              <w:t>RM</w:t>
            </w:r>
          </w:p>
        </w:tc>
        <w:tc>
          <w:tcPr>
            <w:tcW w:w="908" w:type="dxa"/>
            <w:shd w:val="clear" w:color="auto" w:fill="ED7D31" w:themeFill="accent2"/>
          </w:tcPr>
          <w:p>
            <w:pPr>
              <w:jc w:val="center"/>
            </w:pPr>
            <w:r>
              <w:t>50</w:t>
            </w:r>
          </w:p>
          <w:p>
            <w:pPr>
              <w:jc w:val="center"/>
            </w:pPr>
            <w:r>
              <w:t>RA</w:t>
            </w:r>
          </w:p>
        </w:tc>
        <w:tc>
          <w:tcPr>
            <w:tcW w:w="1064" w:type="dxa"/>
            <w:shd w:val="clear" w:color="auto" w:fill="FF0000"/>
          </w:tcPr>
          <w:p>
            <w:pPr>
              <w:jc w:val="center"/>
            </w:pPr>
            <w:r>
              <w:t>80</w:t>
            </w:r>
          </w:p>
          <w:p>
            <w:pPr>
              <w:jc w:val="center"/>
            </w:pPr>
            <w:r>
              <w:t>RE</w:t>
            </w:r>
          </w:p>
        </w:tc>
        <w:tc>
          <w:tcPr>
            <w:tcW w:w="1063" w:type="dxa"/>
            <w:shd w:val="clear" w:color="auto" w:fill="FF0000"/>
          </w:tcPr>
          <w:p>
            <w:pPr>
              <w:jc w:val="center"/>
            </w:pPr>
            <w:r>
              <w:t>100</w:t>
            </w:r>
          </w:p>
          <w:p>
            <w:pPr>
              <w:jc w:val="center"/>
            </w:pPr>
            <w:r>
              <w:t>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500" w:type="dxa"/>
            <w:vMerge w:val="continue"/>
          </w:tcPr>
          <w:p/>
        </w:tc>
        <w:tc>
          <w:tcPr>
            <w:tcW w:w="1201" w:type="dxa"/>
            <w:textDirection w:val="btLr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Alto</w:t>
            </w:r>
          </w:p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60" w:type="dxa"/>
            <w:shd w:val="clear" w:color="auto" w:fill="7B7B7B" w:themeFill="accent3" w:themeFillShade="BF"/>
          </w:tcPr>
          <w:p>
            <w:pPr>
              <w:jc w:val="center"/>
            </w:pPr>
            <w:r>
              <w:t>8</w:t>
            </w:r>
          </w:p>
          <w:p>
            <w:pPr>
              <w:jc w:val="center"/>
            </w:pPr>
            <w:r>
              <w:t>RB</w:t>
            </w:r>
          </w:p>
        </w:tc>
        <w:tc>
          <w:tcPr>
            <w:tcW w:w="944" w:type="dxa"/>
            <w:shd w:val="clear" w:color="auto" w:fill="FFFF00"/>
          </w:tcPr>
          <w:p>
            <w:pPr>
              <w:jc w:val="center"/>
            </w:pPr>
            <w:r>
              <w:t>16</w:t>
            </w:r>
          </w:p>
          <w:p>
            <w:pPr>
              <w:jc w:val="center"/>
            </w:pPr>
            <w:r>
              <w:t>RM</w:t>
            </w:r>
          </w:p>
        </w:tc>
        <w:tc>
          <w:tcPr>
            <w:tcW w:w="908" w:type="dxa"/>
            <w:shd w:val="clear" w:color="auto" w:fill="ED7D31" w:themeFill="accent2"/>
          </w:tcPr>
          <w:p>
            <w:pPr>
              <w:jc w:val="center"/>
            </w:pPr>
            <w:r>
              <w:t>40</w:t>
            </w:r>
          </w:p>
          <w:p>
            <w:pPr>
              <w:jc w:val="center"/>
            </w:pPr>
            <w:r>
              <w:t>RA</w:t>
            </w:r>
          </w:p>
        </w:tc>
        <w:tc>
          <w:tcPr>
            <w:tcW w:w="1064" w:type="dxa"/>
            <w:shd w:val="clear" w:color="auto" w:fill="ED7D31" w:themeFill="accent2"/>
          </w:tcPr>
          <w:p>
            <w:pPr>
              <w:jc w:val="center"/>
            </w:pPr>
            <w:r>
              <w:t>64</w:t>
            </w:r>
          </w:p>
          <w:p>
            <w:pPr>
              <w:jc w:val="center"/>
            </w:pPr>
            <w:r>
              <w:t>RA</w:t>
            </w:r>
          </w:p>
        </w:tc>
        <w:tc>
          <w:tcPr>
            <w:tcW w:w="1063" w:type="dxa"/>
            <w:shd w:val="clear" w:color="auto" w:fill="FF0000"/>
          </w:tcPr>
          <w:p>
            <w:pPr>
              <w:jc w:val="center"/>
            </w:pPr>
            <w:r>
              <w:t>80</w:t>
            </w:r>
          </w:p>
          <w:p>
            <w:pPr>
              <w:jc w:val="center"/>
            </w:pPr>
            <w:r>
              <w:t>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500" w:type="dxa"/>
            <w:vMerge w:val="continue"/>
          </w:tcPr>
          <w:p/>
        </w:tc>
        <w:tc>
          <w:tcPr>
            <w:tcW w:w="1201" w:type="dxa"/>
            <w:textDirection w:val="btLr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Médio</w:t>
            </w:r>
          </w:p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60" w:type="dxa"/>
            <w:shd w:val="clear" w:color="auto" w:fill="7B7B7B" w:themeFill="accent3" w:themeFillShade="BF"/>
          </w:tcPr>
          <w:p>
            <w:pPr>
              <w:jc w:val="center"/>
            </w:pPr>
            <w:r>
              <w:t>5</w:t>
            </w:r>
          </w:p>
          <w:p>
            <w:pPr>
              <w:jc w:val="center"/>
            </w:pPr>
            <w:r>
              <w:t>RB</w:t>
            </w:r>
          </w:p>
        </w:tc>
        <w:tc>
          <w:tcPr>
            <w:tcW w:w="944" w:type="dxa"/>
            <w:shd w:val="clear" w:color="auto" w:fill="FFFF00"/>
          </w:tcPr>
          <w:p>
            <w:pPr>
              <w:jc w:val="center"/>
            </w:pPr>
            <w:r>
              <w:t>10</w:t>
            </w:r>
          </w:p>
          <w:p>
            <w:pPr>
              <w:jc w:val="center"/>
            </w:pPr>
            <w:r>
              <w:t>RM</w:t>
            </w:r>
          </w:p>
        </w:tc>
        <w:tc>
          <w:tcPr>
            <w:tcW w:w="908" w:type="dxa"/>
            <w:shd w:val="clear" w:color="auto" w:fill="FFFF00"/>
          </w:tcPr>
          <w:p>
            <w:pPr>
              <w:jc w:val="center"/>
            </w:pPr>
            <w:r>
              <w:t>25</w:t>
            </w:r>
          </w:p>
          <w:p>
            <w:pPr>
              <w:jc w:val="center"/>
            </w:pPr>
            <w:r>
              <w:t>RM</w:t>
            </w:r>
          </w:p>
        </w:tc>
        <w:tc>
          <w:tcPr>
            <w:tcW w:w="1064" w:type="dxa"/>
            <w:shd w:val="clear" w:color="auto" w:fill="ED7D31" w:themeFill="accent2"/>
          </w:tcPr>
          <w:p>
            <w:pPr>
              <w:jc w:val="center"/>
            </w:pPr>
            <w:r>
              <w:t>40</w:t>
            </w:r>
          </w:p>
          <w:p>
            <w:pPr>
              <w:jc w:val="center"/>
            </w:pPr>
            <w:r>
              <w:t>RA</w:t>
            </w:r>
          </w:p>
        </w:tc>
        <w:tc>
          <w:tcPr>
            <w:tcW w:w="1063" w:type="dxa"/>
            <w:shd w:val="clear" w:color="auto" w:fill="ED7D31" w:themeFill="accent2"/>
          </w:tcPr>
          <w:p>
            <w:pPr>
              <w:jc w:val="center"/>
            </w:pPr>
            <w:r>
              <w:t>50</w:t>
            </w:r>
          </w:p>
          <w:p>
            <w:pPr>
              <w:jc w:val="center"/>
            </w:pPr>
            <w:r>
              <w:t>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500" w:type="dxa"/>
            <w:vMerge w:val="continue"/>
          </w:tcPr>
          <w:p/>
        </w:tc>
        <w:tc>
          <w:tcPr>
            <w:tcW w:w="1201" w:type="dxa"/>
            <w:textDirection w:val="btLr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Baixo</w:t>
            </w:r>
          </w:p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60" w:type="dxa"/>
            <w:shd w:val="clear" w:color="auto" w:fill="7B7B7B" w:themeFill="accent3" w:themeFillShade="BF"/>
          </w:tcPr>
          <w:p>
            <w:pPr>
              <w:jc w:val="center"/>
            </w:pPr>
            <w:r>
              <w:t>2</w:t>
            </w:r>
          </w:p>
          <w:p>
            <w:pPr>
              <w:jc w:val="center"/>
            </w:pPr>
            <w:r>
              <w:t>RB</w:t>
            </w:r>
          </w:p>
        </w:tc>
        <w:tc>
          <w:tcPr>
            <w:tcW w:w="944" w:type="dxa"/>
            <w:shd w:val="clear" w:color="auto" w:fill="7B7B7B" w:themeFill="accent3" w:themeFillShade="BF"/>
          </w:tcPr>
          <w:p>
            <w:pPr>
              <w:jc w:val="center"/>
            </w:pPr>
            <w:r>
              <w:t>4</w:t>
            </w:r>
          </w:p>
          <w:p>
            <w:pPr>
              <w:jc w:val="center"/>
            </w:pPr>
            <w:r>
              <w:t>RB</w:t>
            </w:r>
          </w:p>
        </w:tc>
        <w:tc>
          <w:tcPr>
            <w:tcW w:w="908" w:type="dxa"/>
            <w:shd w:val="clear" w:color="auto" w:fill="FFFF00"/>
          </w:tcPr>
          <w:p>
            <w:pPr>
              <w:jc w:val="center"/>
            </w:pPr>
            <w:r>
              <w:t>10</w:t>
            </w:r>
          </w:p>
          <w:p>
            <w:pPr>
              <w:jc w:val="center"/>
            </w:pPr>
            <w:r>
              <w:t>RM</w:t>
            </w:r>
          </w:p>
        </w:tc>
        <w:tc>
          <w:tcPr>
            <w:tcW w:w="1064" w:type="dxa"/>
            <w:shd w:val="clear" w:color="auto" w:fill="FFFF00"/>
          </w:tcPr>
          <w:p>
            <w:pPr>
              <w:jc w:val="center"/>
            </w:pPr>
            <w:r>
              <w:t>16</w:t>
            </w:r>
          </w:p>
          <w:p>
            <w:pPr>
              <w:jc w:val="center"/>
            </w:pPr>
            <w:r>
              <w:t>RM</w:t>
            </w:r>
          </w:p>
        </w:tc>
        <w:tc>
          <w:tcPr>
            <w:tcW w:w="1063" w:type="dxa"/>
            <w:shd w:val="clear" w:color="auto" w:fill="FFFF00"/>
          </w:tcPr>
          <w:p>
            <w:pPr>
              <w:jc w:val="center"/>
            </w:pPr>
            <w:r>
              <w:t>20</w:t>
            </w:r>
          </w:p>
          <w:p>
            <w:pPr>
              <w:jc w:val="center"/>
            </w:pPr>
            <w:r>
              <w:t>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500" w:type="dxa"/>
            <w:vMerge w:val="continue"/>
            <w:tcBorders>
              <w:bottom w:val="single" w:color="auto" w:sz="4" w:space="0"/>
            </w:tcBorders>
          </w:tcPr>
          <w:p/>
        </w:tc>
        <w:tc>
          <w:tcPr>
            <w:tcW w:w="1201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Baixo</w:t>
            </w:r>
          </w:p>
          <w:p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shd w:val="clear" w:color="auto" w:fill="7B7B7B" w:themeFill="accent3" w:themeFillShade="BF"/>
          </w:tcPr>
          <w:p>
            <w:pPr>
              <w:jc w:val="center"/>
            </w:pPr>
            <w:r>
              <w:t>1</w:t>
            </w:r>
          </w:p>
          <w:p>
            <w:pPr>
              <w:jc w:val="center"/>
            </w:pPr>
            <w:r>
              <w:t>RB</w:t>
            </w:r>
          </w:p>
        </w:tc>
        <w:tc>
          <w:tcPr>
            <w:tcW w:w="944" w:type="dxa"/>
            <w:tcBorders>
              <w:bottom w:val="single" w:color="auto" w:sz="4" w:space="0"/>
            </w:tcBorders>
            <w:shd w:val="clear" w:color="auto" w:fill="7B7B7B" w:themeFill="accent3" w:themeFillShade="BF"/>
          </w:tcPr>
          <w:p>
            <w:pPr>
              <w:jc w:val="center"/>
            </w:pPr>
            <w:r>
              <w:t>2</w:t>
            </w:r>
          </w:p>
          <w:p>
            <w:pPr>
              <w:jc w:val="center"/>
            </w:pPr>
            <w:r>
              <w:t>RB</w:t>
            </w:r>
          </w:p>
        </w:tc>
        <w:tc>
          <w:tcPr>
            <w:tcW w:w="908" w:type="dxa"/>
            <w:tcBorders>
              <w:bottom w:val="single" w:color="auto" w:sz="4" w:space="0"/>
            </w:tcBorders>
            <w:shd w:val="clear" w:color="auto" w:fill="7B7B7B" w:themeFill="accent3" w:themeFillShade="BF"/>
          </w:tcPr>
          <w:p>
            <w:pPr>
              <w:jc w:val="center"/>
            </w:pPr>
            <w:r>
              <w:t>5</w:t>
            </w:r>
          </w:p>
          <w:p>
            <w:pPr>
              <w:jc w:val="center"/>
            </w:pPr>
            <w:r>
              <w:t>RB</w:t>
            </w:r>
          </w:p>
        </w:tc>
        <w:tc>
          <w:tcPr>
            <w:tcW w:w="1064" w:type="dxa"/>
            <w:tcBorders>
              <w:bottom w:val="single" w:color="auto" w:sz="4" w:space="0"/>
            </w:tcBorders>
            <w:shd w:val="clear" w:color="auto" w:fill="7B7B7B" w:themeFill="accent3" w:themeFillShade="BF"/>
          </w:tcPr>
          <w:p>
            <w:pPr>
              <w:jc w:val="center"/>
            </w:pPr>
            <w:r>
              <w:t>8</w:t>
            </w:r>
          </w:p>
          <w:p>
            <w:pPr>
              <w:jc w:val="center"/>
            </w:pPr>
            <w:r>
              <w:t>RB</w:t>
            </w:r>
          </w:p>
        </w:tc>
        <w:tc>
          <w:tcPr>
            <w:tcW w:w="1063" w:type="dxa"/>
            <w:tcBorders>
              <w:bottom w:val="single" w:color="auto" w:sz="4" w:space="0"/>
            </w:tcBorders>
            <w:shd w:val="clear" w:color="auto" w:fill="FFFF00"/>
          </w:tcPr>
          <w:p>
            <w:pPr>
              <w:jc w:val="center"/>
            </w:pPr>
            <w:r>
              <w:t>10</w:t>
            </w:r>
          </w:p>
          <w:p>
            <w:pPr>
              <w:jc w:val="center"/>
            </w:pPr>
            <w:r>
              <w:t>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/>
        </w:tc>
        <w:tc>
          <w:tcPr>
            <w:tcW w:w="120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/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Baixa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44" w:type="dxa"/>
            <w:tcBorders>
              <w:top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Baixa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08" w:type="dxa"/>
            <w:tcBorders>
              <w:top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Média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Alta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063" w:type="dxa"/>
            <w:tcBorders>
              <w:top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Alta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20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/>
        </w:tc>
        <w:tc>
          <w:tcPr>
            <w:tcW w:w="4939" w:type="dxa"/>
            <w:gridSpan w:val="5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PROBABILIDADE</w:t>
            </w:r>
          </w:p>
        </w:tc>
      </w:tr>
    </w:tbl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Diretrizes para priorização ou tratamento de risco:</w:t>
      </w:r>
    </w:p>
    <w:tbl>
      <w:tblPr>
        <w:tblStyle w:val="6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7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997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Nível de Risco</w:t>
            </w:r>
          </w:p>
        </w:tc>
        <w:tc>
          <w:tcPr>
            <w:tcW w:w="7763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Critérios para priorização e tratamento de 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997" w:type="dxa"/>
            <w:shd w:val="clear" w:color="auto" w:fill="FF0000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776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Nível de risco muito além do apetite a risco. Qualquer risco nesse nível deve ser comunicado à governança e alta administração e ter uma resposta imediata. Postergação de medidas só com autorização do dirigente máximo.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997" w:type="dxa"/>
            <w:shd w:val="clear" w:color="auto" w:fill="ED7D31" w:themeFill="accent2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</w:t>
            </w:r>
          </w:p>
        </w:tc>
        <w:tc>
          <w:tcPr>
            <w:tcW w:w="776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Nível de risco além do apetite a risco. Qualquer risco nesse nível deve ser comunicado a alta administração e ter uma ação tomada em período determinado. Postergação de medidas só com autorização do dirigente de área.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997" w:type="dxa"/>
            <w:shd w:val="clear" w:color="auto" w:fill="FFFF00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</w:t>
            </w:r>
          </w:p>
        </w:tc>
        <w:tc>
          <w:tcPr>
            <w:tcW w:w="776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Nível de risco dentro do apetite a risco. Geralmente nenhuma medida especial é necessária, porém requer atividades de monitoramento específicas e atenção da gerência na manutenção de respostas e controles para manter o risco nesse nível, ou reduzi-lo sem custos adicionais.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997" w:type="dxa"/>
            <w:shd w:val="clear" w:color="auto" w:fill="7B7B7B" w:themeFill="accent3" w:themeFillShade="BF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RB</w:t>
            </w:r>
          </w:p>
        </w:tc>
        <w:tc>
          <w:tcPr>
            <w:tcW w:w="776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Nível de risco dentro do apetite a risco, mas é possível que existam oportunidades de maior retorno que podem ser exploradas assumindo-se mais riscos, avaliando a relação custos x benefícios, como diminuir o nível de controles.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0"/>
        <w:jc w:val="both"/>
        <w:textAlignment w:val="auto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 quadro a seguir apresenta uma síntese dos riscos de planejamento e de gestão dos serviços identificados e classificados neste documento.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</w:pPr>
    </w:p>
    <w:tbl>
      <w:tblPr>
        <w:tblStyle w:val="6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5374"/>
        <w:gridCol w:w="1694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9" w:type="dxa"/>
            <w:shd w:val="clear" w:color="auto" w:fill="BEBEBE" w:themeFill="background1" w:themeFillShade="BF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  <w:t>Id</w:t>
            </w:r>
          </w:p>
        </w:tc>
        <w:tc>
          <w:tcPr>
            <w:tcW w:w="5374" w:type="dxa"/>
            <w:shd w:val="clear" w:color="auto" w:fill="BEBEBE" w:themeFill="background1" w:themeFillShade="BF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  <w:t>Risco</w:t>
            </w:r>
          </w:p>
        </w:tc>
        <w:tc>
          <w:tcPr>
            <w:tcW w:w="1694" w:type="dxa"/>
            <w:shd w:val="clear" w:color="auto" w:fill="BEBEBE" w:themeFill="background1" w:themeFillShade="BF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  <w:t xml:space="preserve">Probabilidade </w:t>
            </w:r>
          </w:p>
        </w:tc>
        <w:tc>
          <w:tcPr>
            <w:tcW w:w="1121" w:type="dxa"/>
            <w:shd w:val="clear" w:color="auto" w:fill="BEBEBE" w:themeFill="background1" w:themeFillShade="BF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  <w:t>Impacto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1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Questionamentos excessivos na tomada de preços.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2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highlight w:val="yellow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highlight w:val="none"/>
                <w:lang w:val="pt-BR"/>
              </w:rPr>
              <w:t>Projeto básico ou termo de referência incompleto/inadequado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3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Contratada se recusar a assinar o contrato.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4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Incapacidade da empresa vencedora em executar o contrato.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547" w:leftChars="0" w:hanging="547" w:hangingChars="228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5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Falência da empresa vencedora.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547" w:leftChars="0" w:hanging="547" w:hangingChars="228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6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Indisponibilidade dos materiais no mercado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2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7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Fornecimento de materiais e equipamentos sem qualidade.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8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Aumento anormal dos preços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9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Período prolongado de chuvas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10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Rocha Imprevista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11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 xml:space="preserve">Lençol freático alto 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8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12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Instabilidade de Taludes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13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Ocorrência de acidentes de trabalho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2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14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Processos trabalhistas causados pelo não cumprimento das obrigações da CONTRATADA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2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15</w:t>
            </w:r>
          </w:p>
        </w:tc>
        <w:tc>
          <w:tcPr>
            <w:tcW w:w="537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lang w:val="pt-BR"/>
              </w:rPr>
              <w:t>Sobrecarga dos funcionários responsáveis pela fiscalização</w:t>
            </w:r>
          </w:p>
        </w:tc>
        <w:tc>
          <w:tcPr>
            <w:tcW w:w="16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2</w:t>
            </w:r>
          </w:p>
        </w:tc>
        <w:tc>
          <w:tcPr>
            <w:tcW w:w="112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 w:val="0"/>
                <w:bCs/>
                <w:kern w:val="2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5</w:t>
            </w:r>
          </w:p>
        </w:tc>
      </w:tr>
    </w:tbl>
    <w:p>
      <w:pPr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  <w:br w:type="page"/>
      </w:r>
    </w:p>
    <w:tbl>
      <w:tblPr>
        <w:tblStyle w:val="3"/>
        <w:tblW w:w="8666" w:type="dxa"/>
        <w:tblInd w:w="-12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2249"/>
        <w:gridCol w:w="1445"/>
        <w:gridCol w:w="376"/>
        <w:gridCol w:w="1067"/>
        <w:gridCol w:w="2890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666" w:type="dxa"/>
            <w:gridSpan w:val="6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pacing w:val="-2"/>
                <w:w w:val="95"/>
                <w:sz w:val="28"/>
                <w:szCs w:val="28"/>
              </w:rPr>
              <w:t>MAPA</w:t>
            </w:r>
            <w:r>
              <w:rPr>
                <w:rFonts w:hint="default" w:ascii="Times New Roman" w:hAnsi="Times New Roman" w:cs="Times New Roman"/>
                <w:b/>
                <w:spacing w:val="-15"/>
                <w:w w:val="9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1"/>
                <w:w w:val="95"/>
                <w:sz w:val="28"/>
                <w:szCs w:val="28"/>
              </w:rPr>
              <w:t>DE</w:t>
            </w:r>
            <w:r>
              <w:rPr>
                <w:rFonts w:hint="default" w:ascii="Times New Roman" w:hAnsi="Times New Roman" w:cs="Times New Roman"/>
                <w:b/>
                <w:spacing w:val="-8"/>
                <w:w w:val="9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1"/>
                <w:w w:val="95"/>
                <w:sz w:val="28"/>
                <w:szCs w:val="28"/>
              </w:rPr>
              <w:t>RISCOS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8666" w:type="dxa"/>
            <w:gridSpan w:val="6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highlight w:val="yellow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w w:val="95"/>
                <w:sz w:val="24"/>
                <w:szCs w:val="24"/>
                <w:highlight w:val="none"/>
              </w:rPr>
              <w:t>Objeto</w:t>
            </w:r>
            <w:r>
              <w:rPr>
                <w:rFonts w:hint="default" w:ascii="Times New Roman" w:hAnsi="Times New Roman" w:cs="Times New Roman"/>
                <w:b/>
                <w:spacing w:val="7"/>
                <w:w w:val="95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95"/>
                <w:sz w:val="24"/>
                <w:szCs w:val="24"/>
                <w:highlight w:val="none"/>
              </w:rPr>
              <w:t>da</w:t>
            </w:r>
            <w:r>
              <w:rPr>
                <w:rFonts w:hint="default" w:ascii="Times New Roman" w:hAnsi="Times New Roman" w:cs="Times New Roman"/>
                <w:b/>
                <w:spacing w:val="-1"/>
                <w:w w:val="95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95"/>
                <w:sz w:val="24"/>
                <w:szCs w:val="24"/>
                <w:highlight w:val="none"/>
              </w:rPr>
              <w:t>contratação:</w:t>
            </w:r>
            <w:r>
              <w:rPr>
                <w:rFonts w:hint="default" w:ascii="Times New Roman" w:hAnsi="Times New Roman" w:cs="Times New Roman"/>
                <w:b/>
                <w:w w:val="95"/>
                <w:sz w:val="24"/>
                <w:szCs w:val="24"/>
                <w:highlight w:val="none"/>
                <w:lang w:val="pt-BR"/>
              </w:rPr>
              <w:t xml:space="preserve"> Terraplanagem, Pavimentação e Drenagem de ruas na localidade de Rio Cristal.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666" w:type="dxa"/>
            <w:gridSpan w:val="6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333" w:type="dxa"/>
            <w:gridSpan w:val="3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33" w:type="dxa"/>
            <w:gridSpan w:val="3"/>
          </w:tcPr>
          <w:p>
            <w:pPr>
              <w:pStyle w:val="7"/>
              <w:spacing w:before="112" w:line="240" w:lineRule="auto"/>
              <w:jc w:val="center"/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 )</w:t>
            </w: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8666" w:type="dxa"/>
            <w:gridSpan w:val="6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8666" w:type="dxa"/>
            <w:gridSpan w:val="6"/>
            <w:shd w:val="clear" w:color="auto" w:fill="D7D7D7" w:themeFill="background1" w:themeFillShade="D8"/>
          </w:tcPr>
          <w:p>
            <w:pPr>
              <w:pStyle w:val="7"/>
              <w:spacing w:line="202" w:lineRule="exact"/>
              <w:rPr>
                <w:rFonts w:hint="default" w:ascii="Times New Roman" w:hAnsi="Times New Roman" w:eastAsia="LiberationSerif-Bold" w:cs="Times New Roman"/>
                <w:b/>
                <w:bCs w:val="0"/>
                <w:color w:val="auto"/>
                <w:sz w:val="24"/>
                <w:szCs w:val="24"/>
                <w:shd w:val="clear" w:color="auto" w:fill="auto"/>
                <w:lang w:val="pt-BR"/>
              </w:rPr>
            </w:pPr>
          </w:p>
          <w:p>
            <w:pPr>
              <w:pStyle w:val="7"/>
              <w:spacing w:line="202" w:lineRule="exact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shd w:val="clear" w:color="auto" w:fill="auto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color w:val="auto"/>
                <w:sz w:val="24"/>
                <w:szCs w:val="24"/>
                <w:shd w:val="clear" w:color="auto" w:fill="auto"/>
                <w:lang w:val="pt-BR"/>
              </w:rPr>
              <w:t>Evento de Risco 01: Questionamentos excessivos na Licitação.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888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4"/>
                <w:szCs w:val="24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4"/>
                <w:szCs w:val="24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Tahoma" w:cs="Times New Roman"/>
                <w:bCs/>
                <w:w w:val="8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4"/>
                <w:szCs w:val="24"/>
                <w:lang w:val="pt-BR"/>
              </w:rPr>
              <w:t>(P)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Tahoma" w:cs="Times New Roman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(I)</w:t>
            </w:r>
          </w:p>
        </w:tc>
        <w:tc>
          <w:tcPr>
            <w:tcW w:w="2890" w:type="dxa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3"/>
              </w:numPr>
              <w:ind w:left="56" w:leftChars="0"/>
              <w:jc w:val="center"/>
              <w:rPr>
                <w:rFonts w:hint="default" w:ascii="Times New Roman" w:hAnsi="Times New Roman" w:eastAsia="Tahoma" w:cs="Times New Roman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X (I)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888" w:type="dxa"/>
            <w:gridSpan w:val="2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pt-BR"/>
              </w:rPr>
              <w:t>5</w:t>
            </w:r>
          </w:p>
        </w:tc>
        <w:tc>
          <w:tcPr>
            <w:tcW w:w="2888" w:type="dxa"/>
            <w:gridSpan w:val="3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2890" w:type="dxa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5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639" w:type="dxa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Id</w:t>
            </w:r>
          </w:p>
        </w:tc>
        <w:tc>
          <w:tcPr>
            <w:tcW w:w="8027" w:type="dxa"/>
            <w:gridSpan w:val="5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639" w:type="dxa"/>
          </w:tcPr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pt-BR"/>
              </w:rPr>
              <w:t>1</w:t>
            </w:r>
          </w:p>
        </w:tc>
        <w:tc>
          <w:tcPr>
            <w:tcW w:w="8027" w:type="dxa"/>
            <w:gridSpan w:val="5"/>
          </w:tcPr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eastAsia="LiberationSerif" w:cs="Times New Roman"/>
                <w:kern w:val="2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LiberationSerif" w:cs="Times New Roman"/>
                <w:kern w:val="2"/>
                <w:sz w:val="24"/>
                <w:szCs w:val="24"/>
                <w:highlight w:val="none"/>
              </w:rPr>
              <w:t>Legitimidade de</w:t>
            </w:r>
            <w:r>
              <w:rPr>
                <w:rFonts w:hint="default" w:ascii="Times New Roman" w:hAnsi="Times New Roman" w:eastAsia="LiberationSerif" w:cs="Times New Roman"/>
                <w:kern w:val="2"/>
                <w:sz w:val="24"/>
                <w:szCs w:val="24"/>
                <w:highlight w:val="none"/>
                <w:lang w:val="pt-BR"/>
              </w:rPr>
              <w:t xml:space="preserve"> licitação</w:t>
            </w:r>
            <w:r>
              <w:rPr>
                <w:rFonts w:hint="default" w:ascii="Times New Roman" w:hAnsi="Times New Roman" w:eastAsia="LiberationSerif" w:cs="Times New Roman"/>
                <w:kern w:val="2"/>
                <w:sz w:val="24"/>
                <w:szCs w:val="24"/>
                <w:highlight w:val="none"/>
              </w:rPr>
              <w:t xml:space="preserve"> colocada em questão.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639" w:type="dxa"/>
          </w:tcPr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pt-BR"/>
              </w:rPr>
              <w:t>2</w:t>
            </w:r>
          </w:p>
        </w:tc>
        <w:tc>
          <w:tcPr>
            <w:tcW w:w="8027" w:type="dxa"/>
            <w:gridSpan w:val="5"/>
          </w:tcPr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pt-BR"/>
              </w:rPr>
              <w:t>Atrasos no processo licitatório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639" w:type="dxa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Id</w:t>
            </w:r>
          </w:p>
        </w:tc>
        <w:tc>
          <w:tcPr>
            <w:tcW w:w="4070" w:type="dxa"/>
            <w:gridSpan w:val="3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3957" w:type="dxa"/>
            <w:gridSpan w:val="2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639" w:type="dxa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1</w:t>
            </w:r>
          </w:p>
        </w:tc>
        <w:tc>
          <w:tcPr>
            <w:tcW w:w="4070" w:type="dxa"/>
            <w:gridSpan w:val="3"/>
          </w:tcPr>
          <w:p>
            <w:pPr>
              <w:pStyle w:val="7"/>
              <w:spacing w:before="0"/>
              <w:ind w:left="0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Definir as regras gerais da contratação de forma clara no Edital e em seus anexos, atentar à legislação vigente no tocante a exigências de marcas, modelos e requisitos excludentes.</w:t>
            </w:r>
          </w:p>
          <w:p>
            <w:pPr>
              <w:pStyle w:val="7"/>
              <w:spacing w:before="0"/>
              <w:ind w:left="0"/>
              <w:jc w:val="both"/>
              <w:rPr>
                <w:rFonts w:hint="default" w:ascii="Times New Roman" w:hAnsi="Times New Roman" w:eastAsia="LiberationSerif" w:cs="Times New Roman"/>
                <w:sz w:val="24"/>
                <w:szCs w:val="24"/>
              </w:rPr>
            </w:pPr>
          </w:p>
        </w:tc>
        <w:tc>
          <w:tcPr>
            <w:tcW w:w="3957" w:type="dxa"/>
            <w:gridSpan w:val="2"/>
          </w:tcPr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highlight w:val="none"/>
                <w:lang w:val="pt-BR"/>
              </w:rPr>
              <w:t>Equipe de Licitação / Equipe do ETP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39" w:type="dxa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Id</w:t>
            </w:r>
          </w:p>
        </w:tc>
        <w:tc>
          <w:tcPr>
            <w:tcW w:w="4070" w:type="dxa"/>
            <w:gridSpan w:val="3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3957" w:type="dxa"/>
            <w:gridSpan w:val="2"/>
          </w:tcPr>
          <w:p>
            <w:pPr>
              <w:pStyle w:val="7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639" w:type="dxa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pt-BR"/>
              </w:rPr>
              <w:t>1</w:t>
            </w:r>
          </w:p>
        </w:tc>
        <w:tc>
          <w:tcPr>
            <w:tcW w:w="4070" w:type="dxa"/>
            <w:gridSpan w:val="3"/>
          </w:tcPr>
          <w:p>
            <w:pPr>
              <w:pStyle w:val="7"/>
              <w:spacing w:before="0"/>
              <w:ind w:left="0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Republicação do Edital com correção dos itens alvos da impugnação.</w:t>
            </w:r>
          </w:p>
        </w:tc>
        <w:tc>
          <w:tcPr>
            <w:tcW w:w="3957" w:type="dxa"/>
            <w:gridSpan w:val="2"/>
          </w:tcPr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Equipe de Licitação (CPL)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666" w:type="dxa"/>
            <w:gridSpan w:val="6"/>
            <w:shd w:val="clear" w:color="auto" w:fill="D7D7D7" w:themeFill="background1" w:themeFillShade="D8"/>
          </w:tcPr>
          <w:p>
            <w:pPr>
              <w:pStyle w:val="7"/>
              <w:rPr>
                <w:rFonts w:hint="default" w:ascii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highlight w:val="none"/>
                <w:lang w:val="pt-BR"/>
              </w:rPr>
              <w:t>Evento de Risco 02: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highlight w:val="none"/>
                <w:lang w:val="pt-BR"/>
              </w:rPr>
              <w:t xml:space="preserve"> 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highlight w:val="none"/>
                <w:lang w:val="pt-BR"/>
              </w:rPr>
              <w:t>Projeto básico ou termo de referência incompleto/inadequado.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66" w:type="dxa"/>
            <w:gridSpan w:val="6"/>
          </w:tcPr>
          <w:p>
            <w:pPr>
              <w:pStyle w:val="7"/>
              <w:ind w:leftChars="20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/>
                <w:bCs w:val="0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709" w:type="dxa"/>
            <w:gridSpan w:val="4"/>
          </w:tcPr>
          <w:p>
            <w:pPr>
              <w:pStyle w:val="7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3957" w:type="dxa"/>
            <w:gridSpan w:val="2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 )</w:t>
            </w: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8666" w:type="dxa"/>
            <w:gridSpan w:val="6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888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4"/>
                <w:szCs w:val="24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4"/>
                <w:szCs w:val="24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4"/>
                <w:szCs w:val="24"/>
                <w:lang w:val="pt-BR"/>
              </w:rPr>
              <w:t>(P)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(I)</w:t>
            </w:r>
          </w:p>
        </w:tc>
        <w:tc>
          <w:tcPr>
            <w:tcW w:w="2890" w:type="dxa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2888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5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8</w:t>
            </w:r>
          </w:p>
        </w:tc>
        <w:tc>
          <w:tcPr>
            <w:tcW w:w="2890" w:type="dxa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40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39" w:type="dxa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Id</w:t>
            </w:r>
          </w:p>
        </w:tc>
        <w:tc>
          <w:tcPr>
            <w:tcW w:w="8027" w:type="dxa"/>
            <w:gridSpan w:val="5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39" w:type="dxa"/>
          </w:tcPr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1</w:t>
            </w:r>
          </w:p>
        </w:tc>
        <w:tc>
          <w:tcPr>
            <w:tcW w:w="8027" w:type="dxa"/>
            <w:gridSpan w:val="5"/>
          </w:tcPr>
          <w:p>
            <w:pPr>
              <w:pStyle w:val="7"/>
              <w:spacing w:before="0"/>
              <w:ind w:left="0"/>
              <w:rPr>
                <w:rFonts w:hint="default" w:ascii="Times New Roman" w:hAnsi="Times New Roman" w:eastAsia="LiberationSerif" w:cs="Times New Roman"/>
                <w:kern w:val="2"/>
                <w:sz w:val="22"/>
                <w:szCs w:val="22"/>
              </w:rPr>
            </w:pPr>
            <w:r>
              <w:rPr>
                <w:rFonts w:hint="default" w:ascii="Times New Roman" w:hAnsi="Times New Roman" w:eastAsia="LiberationSerif" w:cs="Times New Roman"/>
                <w:kern w:val="2"/>
                <w:sz w:val="22"/>
                <w:szCs w:val="22"/>
                <w:lang w:val="pt-BR"/>
              </w:rPr>
              <w:t>Elaboração de edital inadequado, gerando recursos ou impugnação após a publicação</w:t>
            </w:r>
            <w:r>
              <w:rPr>
                <w:rFonts w:hint="default" w:ascii="Times New Roman" w:hAnsi="Times New Roman" w:eastAsia="LiberationSerif" w:cs="Times New Roman"/>
                <w:kern w:val="2"/>
                <w:sz w:val="22"/>
                <w:szCs w:val="22"/>
                <w:highlight w:val="none"/>
              </w:rPr>
              <w:t>.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39" w:type="dxa"/>
          </w:tcPr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2</w:t>
            </w:r>
          </w:p>
        </w:tc>
        <w:tc>
          <w:tcPr>
            <w:tcW w:w="8027" w:type="dxa"/>
            <w:gridSpan w:val="5"/>
          </w:tcPr>
          <w:p>
            <w:pPr>
              <w:pStyle w:val="7"/>
              <w:spacing w:before="0"/>
              <w:ind w:left="0"/>
              <w:rPr>
                <w:rFonts w:hint="default" w:ascii="Times New Roman" w:hAnsi="Times New Roman" w:eastAsia="LiberationSerif" w:cs="Times New Roman"/>
                <w:kern w:val="2"/>
                <w:sz w:val="22"/>
                <w:szCs w:val="22"/>
                <w:lang w:val="pt-BR"/>
              </w:rPr>
            </w:pPr>
            <w:r>
              <w:rPr>
                <w:rFonts w:hint="default" w:ascii="Times New Roman" w:hAnsi="Times New Roman" w:eastAsia="LiberationSerif" w:cs="Times New Roman"/>
                <w:kern w:val="2"/>
                <w:sz w:val="22"/>
                <w:szCs w:val="22"/>
                <w:lang w:val="pt-BR"/>
              </w:rPr>
              <w:t>Atraso no procedimento licitatório devido a republicação do edital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39" w:type="dxa"/>
          </w:tcPr>
          <w:p>
            <w:pPr>
              <w:pStyle w:val="7"/>
              <w:spacing w:before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3</w:t>
            </w:r>
          </w:p>
        </w:tc>
        <w:tc>
          <w:tcPr>
            <w:tcW w:w="8027" w:type="dxa"/>
            <w:gridSpan w:val="5"/>
          </w:tcPr>
          <w:p>
            <w:pPr>
              <w:pStyle w:val="7"/>
              <w:spacing w:before="0"/>
              <w:ind w:left="0"/>
              <w:rPr>
                <w:rFonts w:hint="default" w:ascii="Times New Roman" w:hAnsi="Times New Roman" w:eastAsia="LiberationSerif" w:cs="Times New Roman"/>
                <w:kern w:val="2"/>
                <w:sz w:val="22"/>
                <w:szCs w:val="22"/>
                <w:lang w:val="pt-BR"/>
              </w:rPr>
            </w:pPr>
            <w:r>
              <w:rPr>
                <w:rFonts w:hint="default" w:ascii="Times New Roman" w:hAnsi="Times New Roman" w:eastAsia="LiberationSerif" w:cs="Times New Roman"/>
                <w:kern w:val="2"/>
                <w:sz w:val="22"/>
                <w:szCs w:val="22"/>
                <w:lang w:val="pt-BR"/>
              </w:rPr>
              <w:t>Contratação com prejuízo para a Administração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39" w:type="dxa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Id</w:t>
            </w:r>
          </w:p>
        </w:tc>
        <w:tc>
          <w:tcPr>
            <w:tcW w:w="4070" w:type="dxa"/>
            <w:gridSpan w:val="3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3957" w:type="dxa"/>
            <w:gridSpan w:val="2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39" w:type="dxa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4070" w:type="dxa"/>
            <w:gridSpan w:val="3"/>
          </w:tcPr>
          <w:p>
            <w:pPr>
              <w:pStyle w:val="7"/>
              <w:jc w:val="left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LiberationSerif" w:cs="Times New Roman"/>
                <w:sz w:val="24"/>
                <w:szCs w:val="24"/>
                <w:lang w:val="pt-BR"/>
              </w:rPr>
              <w:t>Capacitar pessoal/designar pessoal capacitado para a atividade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.</w:t>
            </w:r>
          </w:p>
          <w:p>
            <w:pPr>
              <w:pStyle w:val="7"/>
              <w:spacing w:line="202" w:lineRule="exact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57" w:type="dxa"/>
            <w:gridSpan w:val="2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</w:p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 xml:space="preserve">Administração Municipal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br w:type="textWrapping"/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39" w:type="dxa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lang w:val="pt-BR"/>
              </w:rPr>
            </w:pPr>
            <w:r>
              <w:rPr>
                <w:rFonts w:hint="default" w:ascii="Times New Roman" w:hAnsi="Times New Roman" w:cs="Times New Roman"/>
                <w:lang w:val="pt-BR"/>
              </w:rPr>
              <w:t>2</w:t>
            </w:r>
          </w:p>
        </w:tc>
        <w:tc>
          <w:tcPr>
            <w:tcW w:w="4070" w:type="dxa"/>
            <w:gridSpan w:val="3"/>
          </w:tcPr>
          <w:p>
            <w:pPr>
              <w:pStyle w:val="7"/>
              <w:jc w:val="left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Realização de estudos preliminares anteriores a elaboração do projeto básico ou do termo de referência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.</w:t>
            </w:r>
          </w:p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957" w:type="dxa"/>
            <w:gridSpan w:val="2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</w:p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Secretaria Requisitante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br w:type="textWrapping"/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39" w:type="dxa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Id</w:t>
            </w:r>
          </w:p>
        </w:tc>
        <w:tc>
          <w:tcPr>
            <w:tcW w:w="4070" w:type="dxa"/>
            <w:gridSpan w:val="3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3957" w:type="dxa"/>
            <w:gridSpan w:val="2"/>
          </w:tcPr>
          <w:p>
            <w:pPr>
              <w:pStyle w:val="7"/>
              <w:spacing w:line="202" w:lineRule="exact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639" w:type="dxa"/>
          </w:tcPr>
          <w:p>
            <w:pPr>
              <w:pStyle w:val="7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pStyle w:val="7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pStyle w:val="7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pt-BR"/>
              </w:rPr>
              <w:t>1</w:t>
            </w:r>
          </w:p>
        </w:tc>
        <w:tc>
          <w:tcPr>
            <w:tcW w:w="4070" w:type="dxa"/>
            <w:gridSpan w:val="3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BR"/>
              </w:rPr>
              <w:t>Recomendar correções ou adequações no  termo de referência ou no projeto básico</w:t>
            </w: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PT"/>
              </w:rPr>
              <w:t>.</w:t>
            </w:r>
          </w:p>
        </w:tc>
        <w:tc>
          <w:tcPr>
            <w:tcW w:w="3957" w:type="dxa"/>
            <w:gridSpan w:val="2"/>
          </w:tcPr>
          <w:p>
            <w:pPr>
              <w:pStyle w:val="7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Setor Jurídico / Comissão Permanente de Licitações (CPL)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639" w:type="dxa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pt-BR"/>
              </w:rPr>
              <w:t>2</w:t>
            </w:r>
          </w:p>
        </w:tc>
        <w:tc>
          <w:tcPr>
            <w:tcW w:w="4070" w:type="dxa"/>
            <w:gridSpan w:val="3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BR"/>
              </w:rPr>
              <w:t>Não aprovar o termo de referência / Projeto Básico</w:t>
            </w:r>
          </w:p>
        </w:tc>
        <w:tc>
          <w:tcPr>
            <w:tcW w:w="3957" w:type="dxa"/>
            <w:gridSpan w:val="2"/>
          </w:tcPr>
          <w:p>
            <w:pPr>
              <w:pStyle w:val="7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Secretaria Requisitante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br w:type="textWrapping"/>
            </w:r>
          </w:p>
        </w:tc>
      </w:tr>
    </w:tbl>
    <w:tbl>
      <w:tblPr>
        <w:tblStyle w:val="6"/>
        <w:tblpPr w:leftFromText="180" w:rightFromText="180" w:vertAnchor="text" w:horzAnchor="page" w:tblpX="1783" w:tblpY="1406"/>
        <w:tblOverlap w:val="never"/>
        <w:tblW w:w="86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2236"/>
        <w:gridCol w:w="1376"/>
        <w:gridCol w:w="67"/>
        <w:gridCol w:w="1441"/>
        <w:gridCol w:w="1"/>
        <w:gridCol w:w="1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03: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 xml:space="preserve">Contratada se recusar a assinar contrato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261" w:type="dxa"/>
            <w:gridSpan w:val="3"/>
          </w:tcPr>
          <w:p>
            <w:pPr>
              <w:pStyle w:val="7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( 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0"/>
                <w:szCs w:val="20"/>
                <w:lang w:val="pt-BR"/>
              </w:rPr>
              <w:t>2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0"/>
                <w:szCs w:val="20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120" w:firstLineChars="5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PT"/>
              </w:rPr>
            </w:pP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PT"/>
              </w:rPr>
              <w:t>Não concluir a licitação tendo que republicar o edital e abrir novo prazo para a realização</w:t>
            </w: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highlight w:val="none"/>
                <w:lang w:val="pt-PT"/>
              </w:rPr>
              <w:t xml:space="preserve"> d</w:t>
            </w: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highlight w:val="none"/>
                <w:lang w:val="pt-BR"/>
              </w:rPr>
              <w:t>a</w:t>
            </w: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highlight w:val="none"/>
                <w:lang w:val="pt-PT"/>
              </w:rPr>
              <w:t xml:space="preserve"> </w:t>
            </w: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highlight w:val="none"/>
                <w:lang w:val="pt-BR"/>
              </w:rPr>
              <w:t>tomada de preços</w:t>
            </w: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highlight w:val="none"/>
                <w:lang w:val="pt-PT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120" w:firstLineChars="5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PT"/>
              </w:rPr>
              <w:t>Definir punição no edital para empresa adjudicada que não assinar o contrato dentro do prazo estipulado.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CPL / Equipe Jurídica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 xml:space="preserve"> 2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Eliminar propostas inexequíveis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Comissão Permanente de Licitação (CPL)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649" w:type="dxa"/>
            <w:vAlign w:val="top"/>
          </w:tcPr>
          <w:p>
            <w:pPr>
              <w:pStyle w:val="7"/>
              <w:spacing w:line="202" w:lineRule="exact"/>
              <w:ind w:left="56" w:leftChars="0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PT"/>
              </w:rPr>
              <w:t>Adjudicar novo fornecedor ou promover nova contratação.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 / Equipe Jurídica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657" w:type="dxa"/>
            <w:gridSpan w:val="8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04: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 xml:space="preserve">Incapacidade da empresa vencedora executar o contrato.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pStyle w:val="7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x)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885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5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0"/>
                <w:szCs w:val="20"/>
                <w:lang w:val="pt-BR"/>
              </w:rPr>
              <w:t>8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" w:cs="Times New Roman"/>
                <w:sz w:val="22"/>
                <w:szCs w:val="22"/>
                <w:lang w:val="pt-BR"/>
              </w:rPr>
            </w:pPr>
            <w:r>
              <w:rPr>
                <w:rFonts w:hint="default" w:ascii="Times New Roman" w:hAnsi="Times New Roman" w:eastAsia="LiberationSerif" w:cs="Times New Roman"/>
                <w:sz w:val="22"/>
                <w:szCs w:val="22"/>
                <w:lang w:val="pt-BR"/>
              </w:rPr>
              <w:t>Paralisação da obra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2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Degradação dos serviços já executados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3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Transtornos para a população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kern w:val="2"/>
                <w:sz w:val="24"/>
                <w:szCs w:val="24"/>
                <w:lang w:val="pt-BR"/>
              </w:rPr>
              <w:t>Exigir capacidade técnica condizente com o objeto a ser contratado.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Gestor do contrato / Equipe Jurídica / CPL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en-US" w:eastAsia="zh-CN"/>
              </w:rPr>
              <w:t xml:space="preserve">Exigir garantia contratual, conforme Art. 56 da Lei 8.666/93.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Gestor do contrato / Equipe Jurídica / CPL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5"/>
                <w:sz w:val="24"/>
                <w:szCs w:val="24"/>
                <w:lang w:val="pt-BR"/>
              </w:rPr>
              <w:t>3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Times New Roman" w:hAnsi="Times New Roman" w:eastAsia="SimSun" w:cs="Times New Roman"/>
                <w:bCs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kern w:val="2"/>
                <w:sz w:val="24"/>
                <w:szCs w:val="24"/>
                <w:lang w:val="pt-BR" w:eastAsia="zh-CN"/>
              </w:rPr>
              <w:t>Prever sanções contratuais para o caso de inexecução dos serviços</w:t>
            </w: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Cs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Gestor do contrato / Equipe Jurídica / CPL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PT"/>
              </w:rPr>
              <w:t>Adjudicar novo fornecedor ou promover nova contratação.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 / Equipe Jurídica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Acionar a garantia e aplicar as penalidades previstas no contrato</w:t>
            </w:r>
            <w:r>
              <w:rPr>
                <w:rFonts w:hint="default" w:cs="Times New Roman"/>
                <w:spacing w:val="-1"/>
                <w:w w:val="95"/>
                <w:sz w:val="24"/>
                <w:szCs w:val="24"/>
                <w:lang w:val="pt-BR"/>
              </w:rPr>
              <w:t>.</w:t>
            </w: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 / Equipe Jurídica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05: Falência da empresa vencedora.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pStyle w:val="7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x)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Tahoma" w:cs="Times New Roman"/>
                <w:spacing w:val="-1"/>
                <w:w w:val="95"/>
                <w:kern w:val="2"/>
                <w:sz w:val="24"/>
                <w:szCs w:val="24"/>
                <w:lang w:val="pt-PT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1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0"/>
                <w:szCs w:val="20"/>
                <w:lang w:val="pt-BR"/>
              </w:rPr>
              <w:t>8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Tahoma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 xml:space="preserve">1 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Atraso nos serviços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2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Degradação dos serviços já executados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3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pt-BR"/>
              </w:rPr>
              <w:t>Transtornos para a população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kern w:val="2"/>
                <w:sz w:val="20"/>
                <w:szCs w:val="20"/>
                <w:lang w:val="pt-BR"/>
              </w:rPr>
              <w:t xml:space="preserve">Exigir 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pt-BR"/>
              </w:rPr>
              <w:t xml:space="preserve">a </w:t>
            </w:r>
            <w:r>
              <w:rPr>
                <w:rFonts w:hint="default" w:ascii="Times New Roman" w:hAnsi="Times New Roman" w:eastAsia="SimSun" w:cs="Times New Roman"/>
                <w:color w:val="000000"/>
                <w:sz w:val="20"/>
                <w:szCs w:val="20"/>
              </w:rPr>
              <w:t>documentação relativa à regularidade fiscal e trabalhista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pt-BR"/>
              </w:rPr>
              <w:t xml:space="preserve"> das empresas participantes do processo licitatório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pt-BR"/>
              </w:rPr>
              <w:t>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Gestor do contrato / Equipe Jurídica / CPL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kern w:val="2"/>
                <w:sz w:val="20"/>
                <w:szCs w:val="20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kern w:val="2"/>
                <w:sz w:val="20"/>
                <w:szCs w:val="20"/>
                <w:lang w:val="en-US" w:eastAsia="zh-CN"/>
              </w:rPr>
              <w:t>Exigir garantia contratual, conforme Art. 56 da Lei 8.666/93.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Cs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Gestor do contrato / Equipe Jurídica / CPL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5"/>
                <w:sz w:val="24"/>
                <w:szCs w:val="24"/>
                <w:lang w:val="pt-BR"/>
              </w:rPr>
              <w:t>3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kern w:val="2"/>
                <w:sz w:val="20"/>
                <w:szCs w:val="20"/>
                <w:lang w:val="en-US" w:eastAsia="zh-CN"/>
              </w:rPr>
              <w:t>Exigir requisitos habilitatórios relativos à qualificação econômica – financeira.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 xml:space="preserve"> Equipe Jurídica / CPL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w w:val="95"/>
                <w:kern w:val="2"/>
                <w:sz w:val="24"/>
                <w:szCs w:val="24"/>
                <w:lang w:val="pt-PT"/>
              </w:rPr>
              <w:t>Adjudicar novo fornecedor ou promover nova contratação.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 / Equipe Jurídica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 xml:space="preserve">Acionar a garantia e aplicar as penalidades previstas no contrato 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 / Equipe Jurídica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657" w:type="dxa"/>
            <w:gridSpan w:val="8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06: Indisponibilidade dos materiais no mercado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pStyle w:val="7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x)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Tahoma" w:cs="Times New Roman"/>
                <w:spacing w:val="-1"/>
                <w:w w:val="95"/>
                <w:kern w:val="2"/>
                <w:sz w:val="24"/>
                <w:szCs w:val="24"/>
                <w:lang w:val="pt-PT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8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LiberationSerif" w:cs="Times New Roman"/>
                <w:sz w:val="22"/>
                <w:szCs w:val="22"/>
              </w:rPr>
              <w:t>Prejuízos financeiros</w:t>
            </w:r>
            <w:r>
              <w:rPr>
                <w:rFonts w:hint="default" w:ascii="Times New Roman" w:hAnsi="Times New Roman" w:eastAsia="LiberationSerif" w:cs="Times New Roman"/>
                <w:sz w:val="22"/>
                <w:szCs w:val="22"/>
                <w:lang w:val="pt-BR"/>
              </w:rPr>
              <w:t xml:space="preserve"> e atraso de obra.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Prever nos projetos o uso de materiais com boa disponibilidade no mercado.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Equipe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Exigir atualização do cronograma de execução da obra junto das medições.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Fiscais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Avaliar a possibilidade de aplicação de penalidades ou reajustar o prazo de execução da obra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 / Secretaria Jurídica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Exigir o estudo do caminho crítico da execução do contrato (CPM) e rever o plano de ataque para finalização da obra.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07:Fornecimento de materiais e equipamentos sem qualidade.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pStyle w:val="7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Tahoma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5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5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 xml:space="preserve">Serviços de baixa qualidade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spacing w:val="-1"/>
                <w:w w:val="95"/>
                <w:sz w:val="24"/>
                <w:szCs w:val="24"/>
                <w:lang w:val="pt-BR"/>
              </w:rPr>
              <w:t>Defeitos</w:t>
            </w: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 xml:space="preserve"> pós execução d</w:t>
            </w:r>
            <w:r>
              <w:rPr>
                <w:rFonts w:hint="default" w:cs="Times New Roman"/>
                <w:spacing w:val="-1"/>
                <w:w w:val="95"/>
                <w:sz w:val="24"/>
                <w:szCs w:val="24"/>
                <w:lang w:val="pt-BR"/>
              </w:rPr>
              <w:t>a</w:t>
            </w: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 xml:space="preserve"> obra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Fiscalização atuante em todas as etapas da execução.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Prever em contrato penalidades e exigência de garantias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Gestor do contrato / Equipe Jurídica / CPL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3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Elaborar memorial descritivo dos materiais e serviços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Equipe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Aplicação das penalidades conforme Contrato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 xml:space="preserve">Equipe Gestão do Contrato / Equipe Jurídica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Exigir o reparo das falhas ocultas que surgirem após o término da obra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Secretaria ordenadora da despesa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08: Aumento anormal dos preços dos insumos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  <w:vAlign w:val="top"/>
          </w:tcPr>
          <w:p>
            <w:pPr>
              <w:pStyle w:val="7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Tahoma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5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8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Prejuízos financeiros e atraso de obra.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highlight w:val="none"/>
                <w:lang w:val="pt-BR"/>
              </w:rPr>
              <w:t>Manter atualizadas as planilhas orçamentárias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Equipe do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highlight w:val="no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highlight w:val="none"/>
                <w:lang w:val="pt-BR"/>
              </w:rPr>
              <w:t>Inserir clausula no contrato sobre o seu reajuste anual, tendo como base os índices de reajustamento de obras rodoviárias do DNIT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CPL / Setor Jurídico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3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highlight w:val="no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highlight w:val="none"/>
                <w:lang w:val="pt-BR"/>
              </w:rPr>
              <w:t>Exigir do vencedor da licitação as composições unitárias dos serviços constantes na curva A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Fiscais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Estudo dos impactos da variação de preços no contrato;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>Se comprovada a variação além do normal, realizar r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eajuste financeiro</w:t>
            </w: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 xml:space="preserve"> dos itens que sofreram desequilíbrio;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Gestor do contrato / Secretaria Jurídica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3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>Caso o reajuste seja inviável para a CONTRATANTE, encerrar o contrato.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Gestor do contrato / Secretaria Jurídica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09: Período prolongado de chuvas.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pStyle w:val="7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LiberationSerif-Bold" w:cs="Times New Roman"/>
                <w:b/>
                <w:bCs w:val="0"/>
                <w:kern w:val="2"/>
                <w:sz w:val="28"/>
                <w:szCs w:val="28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Tahoma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5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8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firstLine="108" w:firstLineChars="5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 xml:space="preserve">Atraso </w:t>
            </w: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>na execução da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>o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 xml:space="preserve">bra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firstLine="108" w:firstLineChars="5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2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>Destruição de serviços já executados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Montar o cronograma de execução incluindo os períodos chuvosos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Equipe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Emitir a Ordem de Serviços apenas na época de seca do Município (Abril a Agosto)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Administração Municipal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Avaliar a possibilidade de aplicação de penalidades ou reajustar o prazo de execução da obra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Equipe 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10: Rocha Imprevista.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</w:tcPr>
          <w:p>
            <w:pPr>
              <w:pStyle w:val="7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 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Identificação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5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Prejuízo financeiro e atraso na obra.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Elaboração dos projetos de topografia e geométricos</w:t>
            </w:r>
          </w:p>
        </w:tc>
        <w:tc>
          <w:tcPr>
            <w:tcW w:w="4396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Equipe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Aditivo de Serviços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</w:p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Mudança no traçado da pista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</w:p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11: Lençol freático alto.</w:t>
            </w: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2"/>
                <w:szCs w:val="22"/>
                <w:vertAlign w:val="baseline"/>
                <w:lang w:val="pt-B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  <w:vAlign w:val="top"/>
          </w:tcPr>
          <w:p>
            <w:pPr>
              <w:pStyle w:val="7"/>
              <w:ind w:left="0" w:leftChars="0" w:right="-3547" w:rightChars="-1689" w:firstLine="0" w:firstLineChars="0"/>
              <w:jc w:val="left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PT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 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-4399" w:leftChars="-2095" w:right="-3547" w:rightChars="-1689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8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5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Prejuízo financeiro e atraso na obra.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 xml:space="preserve">Elaboração dos </w:t>
            </w: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>levantamentos topográficos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 xml:space="preserve"> e</w:t>
            </w:r>
            <w:r>
              <w:rPr>
                <w:rFonts w:hint="default" w:cs="Times New Roman"/>
                <w:bCs/>
                <w:w w:val="90"/>
                <w:sz w:val="24"/>
                <w:szCs w:val="24"/>
                <w:lang w:val="pt-BR"/>
              </w:rPr>
              <w:t xml:space="preserve"> dos projetos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 xml:space="preserve"> geométricos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Equipe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Aditivo de Serviços</w:t>
            </w:r>
          </w:p>
          <w:p>
            <w:pPr>
              <w:pStyle w:val="7"/>
              <w:numPr>
                <w:ilvl w:val="0"/>
                <w:numId w:val="0"/>
              </w:numPr>
              <w:spacing w:line="202" w:lineRule="exact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</w:p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02" w:lineRule="exact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Mudança no traçado da pista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1</w:t>
            </w:r>
            <w:r>
              <w:rPr>
                <w:rFonts w:hint="default" w:eastAsia="LiberationSerif-Bold" w:cs="Times New Roman"/>
                <w:b/>
                <w:bCs w:val="0"/>
                <w:sz w:val="24"/>
                <w:szCs w:val="24"/>
                <w:lang w:val="pt-BR"/>
              </w:rPr>
              <w:t>2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: Instabilidade de taludes.</w:t>
            </w: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2"/>
                <w:szCs w:val="22"/>
                <w:vertAlign w:val="baseline"/>
                <w:lang w:val="pt-B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  <w:vAlign w:val="top"/>
          </w:tcPr>
          <w:p>
            <w:pPr>
              <w:pStyle w:val="7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 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4"/>
                <w:szCs w:val="24"/>
                <w:lang w:val="pt-BR"/>
              </w:rPr>
              <w:t>1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5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Prejuízo financeiro e atraso na obra.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Elaboração do projeto de terraplanagem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Equipe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Prever contenção quando necessário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  <w:lang w:val="pt-BR"/>
              </w:rPr>
              <w:t>Equipe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Aditivo de Serviços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</w:p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1</w:t>
            </w:r>
            <w:r>
              <w:rPr>
                <w:rFonts w:hint="default" w:eastAsia="LiberationSerif-Bold" w:cs="Times New Roman"/>
                <w:b/>
                <w:bCs w:val="0"/>
                <w:sz w:val="24"/>
                <w:szCs w:val="24"/>
                <w:lang w:val="pt-BR"/>
              </w:rPr>
              <w:t>3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 xml:space="preserve">: </w:t>
            </w:r>
            <w:r>
              <w:rPr>
                <w:rFonts w:hint="default" w:eastAsia="LiberationSerif-Bold" w:cs="Times New Roman"/>
                <w:b/>
                <w:bCs w:val="0"/>
                <w:sz w:val="24"/>
                <w:szCs w:val="24"/>
                <w:lang w:val="pt-BR"/>
              </w:rPr>
              <w:t>Ocorrência de acidentes de trabalho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.</w:t>
            </w: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2"/>
                <w:szCs w:val="22"/>
                <w:vertAlign w:val="baseline"/>
                <w:lang w:val="pt-B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  <w:vAlign w:val="top"/>
          </w:tcPr>
          <w:p>
            <w:pPr>
              <w:pStyle w:val="7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 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Tahoma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288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spacing w:val="-1"/>
                <w:w w:val="95"/>
                <w:sz w:val="24"/>
                <w:szCs w:val="24"/>
                <w:lang w:val="pt-BR"/>
              </w:rPr>
              <w:t>10</w:t>
            </w:r>
          </w:p>
        </w:tc>
        <w:tc>
          <w:tcPr>
            <w:tcW w:w="2886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spacing w:val="-1"/>
                <w:w w:val="95"/>
                <w:sz w:val="24"/>
                <w:szCs w:val="24"/>
                <w:lang w:val="pt-B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 xml:space="preserve">Ferimento de funcionários terceirizados.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2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Litígios trabalhistas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/>
                <w:bCs w:val="0"/>
                <w:kern w:val="2"/>
                <w:sz w:val="21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/>
                <w:bCs w:val="0"/>
                <w:kern w:val="2"/>
                <w:sz w:val="21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Exigência de equipamentos de proteção individual (EPI) nas especificações técnicas do termo de referência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Fiscalização do uso dos EPI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Fiscais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Tahoma" w:cs="Times New Roman"/>
                <w:b/>
                <w:bCs w:val="0"/>
                <w:kern w:val="2"/>
                <w:sz w:val="21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Em caso de acionamento judicial, apresentar defesa técnica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Secretaria Jurídica / Fiscais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1</w:t>
            </w:r>
            <w:r>
              <w:rPr>
                <w:rFonts w:hint="default" w:eastAsia="LiberationSerif-Bold" w:cs="Times New Roman"/>
                <w:b/>
                <w:bCs w:val="0"/>
                <w:sz w:val="24"/>
                <w:szCs w:val="24"/>
                <w:lang w:val="pt-BR"/>
              </w:rPr>
              <w:t>4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 xml:space="preserve">: </w:t>
            </w:r>
            <w:r>
              <w:rPr>
                <w:rFonts w:hint="default" w:eastAsia="LiberationSerif-Bold" w:cs="Times New Roman"/>
                <w:b/>
                <w:bCs w:val="0"/>
                <w:sz w:val="24"/>
                <w:szCs w:val="24"/>
                <w:lang w:val="pt-BR"/>
              </w:rPr>
              <w:t>Processos trabalhistas causados pelo não cumprimento das obrigações da CONTRATADA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.</w:t>
            </w: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8" w:type="dxa"/>
            <w:gridSpan w:val="4"/>
            <w:vAlign w:val="top"/>
          </w:tcPr>
          <w:p>
            <w:pPr>
              <w:pStyle w:val="7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 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29" w:type="dxa"/>
            <w:gridSpan w:val="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5" w:type="dxa"/>
            <w:gridSpan w:val="4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Tahoma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7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kern w:val="2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2885" w:type="dxa"/>
            <w:gridSpan w:val="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spacing w:val="-1"/>
                <w:w w:val="95"/>
                <w:sz w:val="24"/>
                <w:szCs w:val="24"/>
                <w:lang w:val="pt-BR"/>
              </w:rPr>
              <w:t>5</w:t>
            </w:r>
          </w:p>
        </w:tc>
        <w:tc>
          <w:tcPr>
            <w:tcW w:w="2887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spacing w:val="-1"/>
                <w:w w:val="95"/>
                <w:sz w:val="24"/>
                <w:szCs w:val="24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49" w:type="dxa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Prejuízo financeiro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/>
                <w:bCs w:val="0"/>
                <w:kern w:val="2"/>
                <w:sz w:val="21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/>
                <w:bCs w:val="0"/>
                <w:kern w:val="2"/>
                <w:sz w:val="21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Exigência da apresentação das guias de pagamento, assinadas pelos funcionários, nos critérios de medição do termo de referência.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ETP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2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Fiscalização dos documentos de medição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Fiscais de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Tahoma" w:cs="Times New Roman"/>
                <w:b/>
                <w:bCs w:val="0"/>
                <w:kern w:val="2"/>
                <w:sz w:val="21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Tahoma" w:cs="Times New Roman"/>
                <w:w w:val="10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Em caso de acionamento judicial, apresentar defesa técnica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Tahoma" w:cs="Times New Roman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Secretaria Jurídica / Fiscais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shd w:val="clear" w:color="auto" w:fill="D7D7D7" w:themeFill="background1" w:themeFillShade="D8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Evento de Risco 1</w:t>
            </w:r>
            <w:r>
              <w:rPr>
                <w:rFonts w:hint="default" w:eastAsia="LiberationSerif-Bold" w:cs="Times New Roman"/>
                <w:b/>
                <w:bCs w:val="0"/>
                <w:sz w:val="24"/>
                <w:szCs w:val="24"/>
                <w:lang w:val="pt-BR"/>
              </w:rPr>
              <w:t>5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 xml:space="preserve">: </w:t>
            </w:r>
            <w:r>
              <w:rPr>
                <w:rFonts w:hint="default" w:eastAsia="LiberationSerif-Bold" w:cs="Times New Roman"/>
                <w:b/>
                <w:bCs w:val="0"/>
                <w:sz w:val="24"/>
                <w:szCs w:val="24"/>
                <w:lang w:val="pt-BR"/>
              </w:rPr>
              <w:t>Sobrecarga dos funcionários responsáveis pela fiscalização</w:t>
            </w:r>
            <w:r>
              <w:rPr>
                <w:rFonts w:hint="default" w:ascii="Times New Roman" w:hAnsi="Times New Roman" w:eastAsia="LiberationSerif-Bold" w:cs="Times New Roman"/>
                <w:b/>
                <w:bCs w:val="0"/>
                <w:sz w:val="24"/>
                <w:szCs w:val="24"/>
                <w:lang w:val="pt-BR"/>
              </w:rPr>
              <w:t>.</w:t>
            </w:r>
            <w:r>
              <w:rPr>
                <w:rFonts w:hint="default" w:ascii="Times New Roman" w:hAnsi="Times New Roman" w:eastAsia="LiberationSerif-Bold" w:cs="Times New Roman"/>
                <w:b w:val="0"/>
                <w:bCs/>
                <w:sz w:val="24"/>
                <w:szCs w:val="24"/>
                <w:vertAlign w:val="baseline"/>
                <w:lang w:val="pt-B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7" w:type="dxa"/>
            <w:gridSpan w:val="8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bCs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Cs/>
                <w:spacing w:val="-6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8" w:type="dxa"/>
            <w:gridSpan w:val="4"/>
            <w:vAlign w:val="top"/>
          </w:tcPr>
          <w:p>
            <w:pPr>
              <w:pStyle w:val="7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 )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Planejamento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</w:tc>
        <w:tc>
          <w:tcPr>
            <w:tcW w:w="4329" w:type="dxa"/>
            <w:gridSpan w:val="4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>x)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Gestão do Contrato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w w:val="95"/>
                <w:sz w:val="20"/>
                <w:szCs w:val="20"/>
              </w:rPr>
              <w:t>Probabi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lidade da</w:t>
            </w:r>
            <w:r>
              <w:rPr>
                <w:rFonts w:hint="default" w:ascii="Times New Roman" w:hAnsi="Times New Roman" w:cs="Times New Roman"/>
                <w:bCs/>
                <w:spacing w:val="1"/>
                <w:w w:val="8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</w:rPr>
              <w:t>incidência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w w:val="85"/>
                <w:sz w:val="20"/>
                <w:szCs w:val="20"/>
                <w:lang w:val="pt-BR"/>
              </w:rPr>
              <w:t>(P)</w:t>
            </w:r>
          </w:p>
        </w:tc>
        <w:tc>
          <w:tcPr>
            <w:tcW w:w="2884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Impacto</w:t>
            </w:r>
          </w:p>
          <w:p>
            <w:pPr>
              <w:pStyle w:val="7"/>
              <w:ind w:left="56" w:leftChars="0"/>
              <w:jc w:val="center"/>
              <w:rPr>
                <w:rFonts w:hint="default" w:ascii="Times New Roman" w:hAnsi="Times New Roman" w:eastAsia="Tahoma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(I)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pStyle w:val="7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Nível de Risco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(P)X (I)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bCs/>
                <w:w w:val="95"/>
                <w:sz w:val="24"/>
                <w:szCs w:val="24"/>
                <w:lang w:val="pt-BR"/>
              </w:rPr>
              <w:t>2</w:t>
            </w:r>
          </w:p>
        </w:tc>
        <w:tc>
          <w:tcPr>
            <w:tcW w:w="288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spacing w:val="-1"/>
                <w:w w:val="95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spacing w:val="-1"/>
                <w:w w:val="95"/>
                <w:sz w:val="24"/>
                <w:szCs w:val="24"/>
                <w:lang w:val="pt-BR"/>
              </w:rPr>
              <w:t>5</w:t>
            </w:r>
          </w:p>
        </w:tc>
        <w:tc>
          <w:tcPr>
            <w:tcW w:w="2886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pacing w:val="-1"/>
                <w:w w:val="95"/>
                <w:sz w:val="24"/>
                <w:szCs w:val="24"/>
                <w:lang w:val="pt-BR"/>
              </w:rPr>
            </w:pPr>
            <w:r>
              <w:rPr>
                <w:rFonts w:hint="default" w:cs="Times New Roman"/>
                <w:spacing w:val="-1"/>
                <w:w w:val="95"/>
                <w:sz w:val="24"/>
                <w:szCs w:val="24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49" w:type="dxa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1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Acompanhamento deficiente da execução dos serviços.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2</w:t>
            </w:r>
          </w:p>
        </w:tc>
        <w:tc>
          <w:tcPr>
            <w:tcW w:w="8008" w:type="dxa"/>
            <w:gridSpan w:val="7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Comprometimento dos objetivos definidos no contrato.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Preven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iva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Divisão adequada da responsabilidade de fiscalização da obra e do contrato entre os servidores.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Secretaria demandante e Administração da SECOBR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  <w:t>Id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Tahoma" w:cs="Times New Roman"/>
                <w:b/>
                <w:bCs w:val="0"/>
                <w:kern w:val="2"/>
                <w:sz w:val="21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1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Con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  <w:lang w:val="pt-BR"/>
              </w:rPr>
              <w:t>t</w:t>
            </w:r>
            <w:r>
              <w:rPr>
                <w:rFonts w:hint="default" w:ascii="Times New Roman" w:hAnsi="Times New Roman" w:cs="Times New Roman"/>
                <w:b/>
                <w:bCs w:val="0"/>
                <w:w w:val="105"/>
                <w:sz w:val="24"/>
                <w:szCs w:val="24"/>
              </w:rPr>
              <w:t>ingência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eastAsia="Tahoma" w:cs="Times New Roman"/>
                <w:b/>
                <w:bCs w:val="0"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Tahoma" w:cs="Times New Roman"/>
                <w:bCs/>
                <w:w w:val="90"/>
                <w:kern w:val="2"/>
                <w:sz w:val="24"/>
                <w:szCs w:val="24"/>
                <w:lang w:val="pt-BR"/>
              </w:rPr>
              <w:t>1</w:t>
            </w:r>
          </w:p>
        </w:tc>
        <w:tc>
          <w:tcPr>
            <w:tcW w:w="3612" w:type="dxa"/>
            <w:gridSpan w:val="2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w w:val="105"/>
                <w:sz w:val="24"/>
                <w:szCs w:val="24"/>
                <w:lang w:val="pt-BR"/>
              </w:rPr>
              <w:t>Substituição dos fiscais sobrecarregados</w:t>
            </w:r>
          </w:p>
        </w:tc>
        <w:tc>
          <w:tcPr>
            <w:tcW w:w="4396" w:type="dxa"/>
            <w:gridSpan w:val="5"/>
            <w:vAlign w:val="top"/>
          </w:tcPr>
          <w:p>
            <w:pPr>
              <w:pStyle w:val="7"/>
              <w:spacing w:line="202" w:lineRule="exact"/>
              <w:ind w:left="56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Secretaria demandante e Administração da SECOBR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  <w:t>Declaração de Viabilidade.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Declaro como viável a obra, devido ao grande ganho em mobilidade e na redução da manutenção da estrada após a execução da obra, além da resolução de problemas de pontos de atolamento na localidade e a facilidade de acesso aos munícipes. Além de que estas são o restante das ruas a serem pavimentadas dentro da sede municipal, atendendo assim anseios anteriores das comunidades e proporcionando benfeitorias. 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</w:p>
    <w:p>
      <w:pP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page"/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  <w:t>Responsável.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</w:pPr>
      <w:r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Elaboração: </w:t>
      </w:r>
      <w:r>
        <w:rPr>
          <w:rFonts w:hint="default" w:ascii="Arial" w:hAnsi="Arial" w:eastAsia="LiberationSerif-Bold" w:cs="Arial"/>
          <w:b/>
          <w:bCs w:val="0"/>
          <w:sz w:val="28"/>
          <w:szCs w:val="28"/>
          <w:lang w:val="pt-BR"/>
        </w:rPr>
        <w:br w:type="textWrapping"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___________________</w:t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br w:type="textWrapping"/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Edeilson Da Silva Soares</w:t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br w:type="textWrapping"/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Mat - 055010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___________________</w:t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br w:type="textWrapping"/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Guilherme Faria Moreira</w:t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br w:type="textWrapping"/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Mat - 055011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Revisão: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___________________</w:t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br w:type="textWrapping"/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Micaela Buss Surlo</w:t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br w:type="textWrapping"/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Mat - 055125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 xml:space="preserve">Secretário da Pasta: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______________________</w:t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br w:type="textWrapping"/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Paulo Emílio Arnsholz</w:t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br w:type="textWrapping"/>
            </w:r>
            <w:r>
              <w:rPr>
                <w:rFonts w:hint="default" w:ascii="Arial" w:hAnsi="Arial" w:eastAsia="LiberationSerif-Bold" w:cs="Arial"/>
                <w:b w:val="0"/>
                <w:bCs/>
                <w:sz w:val="24"/>
                <w:szCs w:val="24"/>
                <w:vertAlign w:val="baseline"/>
                <w:lang w:val="pt-BR"/>
              </w:rPr>
              <w:t>Secretário de Obras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</w:p>
    <w:sectPr>
      <w:headerReference r:id="rId3" w:type="default"/>
      <w:pgSz w:w="11906" w:h="16838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iberationSerif-Bold">
    <w:altName w:val="AMGD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ITCFranklinGothicStd-DmC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ITCFranklinGothicStd-MdC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Serif">
    <w:altName w:val="AMGD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Arial Unicode MS">
    <w:altName w:val="SimSun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/>
      <w:snapToGrid/>
      <w:spacing w:line="120" w:lineRule="auto"/>
      <w:jc w:val="center"/>
      <w:textAlignment w:val="auto"/>
      <w:outlineLvl w:val="9"/>
      <w:rPr>
        <w:rFonts w:hint="default" w:ascii="Old English Text MT" w:hAnsi="Old English Text MT" w:eastAsia="Arial Unicode MS" w:cs="Old English Text MT"/>
        <w:b/>
        <w:bCs/>
        <w:sz w:val="40"/>
        <w:szCs w:val="40"/>
      </w:rPr>
    </w:pPr>
    <w:r>
      <w:rPr>
        <w:rFonts w:hint="default" w:ascii="Old English Text MT" w:hAnsi="Old English Text MT" w:cs="Old English Text MT"/>
        <w:b/>
        <w:bCs/>
        <w:sz w:val="40"/>
        <w:szCs w:val="4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-936625</wp:posOffset>
          </wp:positionH>
          <wp:positionV relativeFrom="paragraph">
            <wp:posOffset>-305435</wp:posOffset>
          </wp:positionV>
          <wp:extent cx="721995" cy="983615"/>
          <wp:effectExtent l="0" t="0" r="1905" b="6985"/>
          <wp:wrapSquare wrapText="bothSides"/>
          <wp:docPr id="2" name="Imagem 1026" descr="brasao du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26" descr="brasao dud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1995" cy="9836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/>
      <w:snapToGrid/>
      <w:spacing w:line="360" w:lineRule="auto"/>
      <w:jc w:val="center"/>
      <w:textAlignment w:val="auto"/>
      <w:outlineLvl w:val="9"/>
      <w:rPr>
        <w:rFonts w:hint="default" w:ascii="Old English Text MT" w:hAnsi="Old English Text MT" w:eastAsia="Arial Unicode MS" w:cs="Old English Text MT"/>
        <w:b/>
        <w:bCs/>
        <w:sz w:val="44"/>
        <w:szCs w:val="44"/>
      </w:rPr>
    </w:pPr>
    <w:r>
      <w:rPr>
        <w:rFonts w:hint="default" w:ascii="Old English Text MT" w:hAnsi="Old English Text MT" w:eastAsia="Arial Unicode MS" w:cs="Old English Text MT"/>
        <w:b/>
        <w:bCs/>
        <w:sz w:val="44"/>
        <w:szCs w:val="44"/>
      </w:rPr>
      <w:t xml:space="preserve">Prefeitura </w:t>
    </w:r>
    <w:r>
      <w:rPr>
        <w:rFonts w:hint="default" w:ascii="Old English Text MT" w:hAnsi="Old English Text MT" w:eastAsia="Arial Unicode MS" w:cs="Old English Text MT"/>
        <w:b/>
        <w:bCs/>
        <w:sz w:val="44"/>
        <w:szCs w:val="44"/>
        <w:lang w:val="pt-BR"/>
      </w:rPr>
      <w:t>M</w:t>
    </w:r>
    <w:r>
      <w:rPr>
        <w:rFonts w:hint="default" w:ascii="Old English Text MT" w:hAnsi="Old English Text MT" w:eastAsia="Arial Unicode MS" w:cs="Old English Text MT"/>
        <w:b/>
        <w:bCs/>
        <w:sz w:val="44"/>
        <w:szCs w:val="44"/>
      </w:rPr>
      <w:t>unicipal de</w:t>
    </w:r>
    <w:r>
      <w:rPr>
        <w:rFonts w:hint="default" w:ascii="Old English Text MT" w:hAnsi="Old English Text MT" w:eastAsia="Arial Unicode MS" w:cs="Old English Text MT"/>
        <w:b/>
        <w:bCs/>
        <w:sz w:val="44"/>
        <w:szCs w:val="44"/>
        <w:lang w:val="pt-BR"/>
      </w:rPr>
      <w:t xml:space="preserve"> S</w:t>
    </w:r>
    <w:r>
      <w:rPr>
        <w:rFonts w:hint="default" w:ascii="Old English Text MT" w:hAnsi="Old English Text MT" w:eastAsia="Arial Unicode MS" w:cs="Old English Text MT"/>
        <w:b/>
        <w:bCs/>
        <w:sz w:val="44"/>
        <w:szCs w:val="44"/>
      </w:rPr>
      <w:t xml:space="preserve">anta </w:t>
    </w:r>
    <w:r>
      <w:rPr>
        <w:rFonts w:hint="default" w:ascii="Old English Text MT" w:hAnsi="Old English Text MT" w:eastAsia="Arial Unicode MS" w:cs="Old English Text MT"/>
        <w:b/>
        <w:bCs/>
        <w:sz w:val="44"/>
        <w:szCs w:val="44"/>
        <w:lang w:val="pt-BR"/>
      </w:rPr>
      <w:t>M</w:t>
    </w:r>
    <w:r>
      <w:rPr>
        <w:rFonts w:hint="default" w:ascii="Old English Text MT" w:hAnsi="Old English Text MT" w:eastAsia="Arial Unicode MS" w:cs="Old English Text MT"/>
        <w:b/>
        <w:bCs/>
        <w:sz w:val="44"/>
        <w:szCs w:val="44"/>
      </w:rPr>
      <w:t xml:space="preserve">aria de </w:t>
    </w:r>
    <w:r>
      <w:rPr>
        <w:rFonts w:hint="default" w:ascii="Old English Text MT" w:hAnsi="Old English Text MT" w:eastAsia="Arial Unicode MS" w:cs="Old English Text MT"/>
        <w:b/>
        <w:bCs/>
        <w:sz w:val="44"/>
        <w:szCs w:val="44"/>
        <w:lang w:val="pt-BR"/>
      </w:rPr>
      <w:t>J</w:t>
    </w:r>
    <w:r>
      <w:rPr>
        <w:rFonts w:hint="default" w:ascii="Old English Text MT" w:hAnsi="Old English Text MT" w:eastAsia="Arial Unicode MS" w:cs="Old English Text MT"/>
        <w:b/>
        <w:bCs/>
        <w:sz w:val="44"/>
        <w:szCs w:val="44"/>
      </w:rPr>
      <w:t>etibá</w:t>
    </w:r>
  </w:p>
  <w:p>
    <w:pPr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/>
      <w:snapToGrid/>
      <w:spacing w:line="360" w:lineRule="auto"/>
      <w:jc w:val="center"/>
      <w:textAlignment w:val="auto"/>
      <w:outlineLvl w:val="9"/>
      <w:rPr>
        <w:rFonts w:hint="default"/>
        <w:sz w:val="40"/>
        <w:szCs w:val="40"/>
      </w:rPr>
    </w:pPr>
    <w:r>
      <w:rPr>
        <w:rFonts w:hint="default" w:ascii="Arial" w:hAnsi="Arial" w:eastAsia="Arial Unicode MS" w:cs="Arial"/>
        <w:b w:val="0"/>
        <w:bCs/>
        <w:sz w:val="40"/>
        <w:szCs w:val="40"/>
      </w:rPr>
      <w:t>Estado do Espírito Santo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5A2E6"/>
    <w:multiLevelType w:val="singleLevel"/>
    <w:tmpl w:val="0AF5A2E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49AE109"/>
    <w:multiLevelType w:val="singleLevel"/>
    <w:tmpl w:val="349AE109"/>
    <w:lvl w:ilvl="0" w:tentative="0">
      <w:start w:val="16"/>
      <w:numFmt w:val="upperLetter"/>
      <w:suff w:val="space"/>
      <w:lvlText w:val="(%1)"/>
      <w:lvlJc w:val="left"/>
    </w:lvl>
  </w:abstractNum>
  <w:abstractNum w:abstractNumId="2">
    <w:nsid w:val="38655249"/>
    <w:multiLevelType w:val="multilevel"/>
    <w:tmpl w:val="38655249"/>
    <w:lvl w:ilvl="0" w:tentative="0">
      <w:start w:val="7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3">
    <w:nsid w:val="631DDF31"/>
    <w:multiLevelType w:val="singleLevel"/>
    <w:tmpl w:val="631DDF31"/>
    <w:lvl w:ilvl="0" w:tentative="0">
      <w:start w:val="16"/>
      <w:numFmt w:val="upperLetter"/>
      <w:suff w:val="space"/>
      <w:lvlText w:val="(%1)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E7195B"/>
    <w:rsid w:val="036F4245"/>
    <w:rsid w:val="087E6AFF"/>
    <w:rsid w:val="0D2B1D69"/>
    <w:rsid w:val="14301723"/>
    <w:rsid w:val="18553B7E"/>
    <w:rsid w:val="1B5464BB"/>
    <w:rsid w:val="1EC147B2"/>
    <w:rsid w:val="20F83EA8"/>
    <w:rsid w:val="218D5C98"/>
    <w:rsid w:val="219E07E3"/>
    <w:rsid w:val="2AF77386"/>
    <w:rsid w:val="2E766DCC"/>
    <w:rsid w:val="307A5460"/>
    <w:rsid w:val="354962E9"/>
    <w:rsid w:val="367F6233"/>
    <w:rsid w:val="390547EE"/>
    <w:rsid w:val="39873196"/>
    <w:rsid w:val="3A0B3CEE"/>
    <w:rsid w:val="3B4D3A01"/>
    <w:rsid w:val="3CA65CC6"/>
    <w:rsid w:val="3D0C6C4D"/>
    <w:rsid w:val="3D197602"/>
    <w:rsid w:val="3E112D98"/>
    <w:rsid w:val="45E23858"/>
    <w:rsid w:val="484756F8"/>
    <w:rsid w:val="4AEC5B71"/>
    <w:rsid w:val="4F550C88"/>
    <w:rsid w:val="50B55954"/>
    <w:rsid w:val="5419346E"/>
    <w:rsid w:val="55A2521D"/>
    <w:rsid w:val="58A943CC"/>
    <w:rsid w:val="5AFE0727"/>
    <w:rsid w:val="5B4306D3"/>
    <w:rsid w:val="5C9A7F3E"/>
    <w:rsid w:val="5CB67ED0"/>
    <w:rsid w:val="5CCA7D24"/>
    <w:rsid w:val="5D35726C"/>
    <w:rsid w:val="5F332D7C"/>
    <w:rsid w:val="607C6DFD"/>
    <w:rsid w:val="608731CE"/>
    <w:rsid w:val="62423557"/>
    <w:rsid w:val="64935C7C"/>
    <w:rsid w:val="669E2483"/>
    <w:rsid w:val="671F0E6F"/>
    <w:rsid w:val="67E72FD6"/>
    <w:rsid w:val="6BEF7273"/>
    <w:rsid w:val="6BF67CAE"/>
    <w:rsid w:val="6D542428"/>
    <w:rsid w:val="6FC24BC4"/>
    <w:rsid w:val="70933FA7"/>
    <w:rsid w:val="71C87818"/>
    <w:rsid w:val="727709A5"/>
    <w:rsid w:val="76DE50A0"/>
    <w:rsid w:val="7B183DDD"/>
    <w:rsid w:val="7C06235F"/>
    <w:rsid w:val="7E04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SimSun" w:cs="Times New Roman"/>
      <w:kern w:val="2"/>
      <w:sz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paragraph" w:styleId="5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table" w:styleId="6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qFormat/>
    <w:uiPriority w:val="1"/>
    <w:pPr>
      <w:spacing w:before="18"/>
      <w:ind w:left="56"/>
    </w:pPr>
    <w:rPr>
      <w:rFonts w:ascii="Tahoma" w:hAnsi="Tahoma" w:eastAsia="Tahoma" w:cs="Tahoma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2021-07-13T11:43:00Z</dcterms:created>
  <dc:creator>maria.barros</dc:creator>
  <cp:lastModifiedBy>guilherme.moreira</cp:lastModifiedBy>
  <cp:lastPrinted>2022-06-15T17:54:32Z</cp:lastPrinted>
  <dcterms:modified xsi:type="dcterms:W3CDTF">2022-06-15T18:23:38Z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AE5AFFE229C345D1896063AE172982B4</vt:lpwstr>
  </property>
</Properties>
</file>